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9FAD2A">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w:t>
      </w:r>
    </w:p>
    <w:p w14:paraId="0803622B">
      <w:pPr>
        <w:pStyle w:val="6"/>
        <w:jc w:val="center"/>
        <w:outlineLvl w:val="0"/>
        <w:rPr>
          <w:color w:val="000000" w:themeColor="text1"/>
          <w:sz w:val="22"/>
          <w:szCs w:val="22"/>
          <w14:textFill>
            <w14:solidFill>
              <w14:schemeClr w14:val="tx1"/>
            </w14:solidFill>
          </w14:textFill>
        </w:rPr>
      </w:pPr>
      <w:r>
        <w:rPr>
          <w:rFonts w:ascii="仿宋_GB2312" w:hAnsi="仿宋_GB2312" w:eastAsia="仿宋_GB2312" w:cs="仿宋_GB2312"/>
          <w:b/>
          <w:color w:val="000000" w:themeColor="text1"/>
          <w:sz w:val="56"/>
          <w:szCs w:val="22"/>
          <w14:textFill>
            <w14:solidFill>
              <w14:schemeClr w14:val="tx1"/>
            </w14:solidFill>
          </w14:textFill>
        </w:rPr>
        <w:t>福建省政府采购</w:t>
      </w:r>
    </w:p>
    <w:p w14:paraId="3EE12842">
      <w:pPr>
        <w:pStyle w:val="6"/>
        <w:jc w:val="center"/>
        <w:outlineLvl w:val="0"/>
        <w:rPr>
          <w:color w:val="000000" w:themeColor="text1"/>
          <w:sz w:val="22"/>
          <w:szCs w:val="22"/>
          <w14:textFill>
            <w14:solidFill>
              <w14:schemeClr w14:val="tx1"/>
            </w14:solidFill>
          </w14:textFill>
        </w:rPr>
      </w:pPr>
      <w:r>
        <w:rPr>
          <w:rFonts w:ascii="仿宋_GB2312" w:hAnsi="仿宋_GB2312" w:eastAsia="仿宋_GB2312" w:cs="仿宋_GB2312"/>
          <w:b/>
          <w:color w:val="000000" w:themeColor="text1"/>
          <w:sz w:val="56"/>
          <w:szCs w:val="22"/>
          <w14:textFill>
            <w14:solidFill>
              <w14:schemeClr w14:val="tx1"/>
            </w14:solidFill>
          </w14:textFill>
        </w:rPr>
        <w:t>货物和服务项目</w:t>
      </w:r>
    </w:p>
    <w:p w14:paraId="2B335679">
      <w:pPr>
        <w:pStyle w:val="6"/>
        <w:jc w:val="center"/>
        <w:outlineLvl w:val="0"/>
        <w:rPr>
          <w:color w:val="000000" w:themeColor="text1"/>
          <w:sz w:val="22"/>
          <w:szCs w:val="22"/>
          <w14:textFill>
            <w14:solidFill>
              <w14:schemeClr w14:val="tx1"/>
            </w14:solidFill>
          </w14:textFill>
        </w:rPr>
      </w:pPr>
      <w:r>
        <w:rPr>
          <w:rFonts w:ascii="仿宋_GB2312" w:hAnsi="仿宋_GB2312" w:eastAsia="仿宋_GB2312" w:cs="仿宋_GB2312"/>
          <w:b/>
          <w:color w:val="000000" w:themeColor="text1"/>
          <w:sz w:val="56"/>
          <w:szCs w:val="22"/>
          <w14:textFill>
            <w14:solidFill>
              <w14:schemeClr w14:val="tx1"/>
            </w14:solidFill>
          </w14:textFill>
        </w:rPr>
        <w:t>公开招标文件</w:t>
      </w:r>
    </w:p>
    <w:p w14:paraId="031D2F24">
      <w:pPr>
        <w:pStyle w:val="6"/>
        <w:jc w:val="center"/>
        <w:outlineLvl w:val="2"/>
        <w:rPr>
          <w:rFonts w:hint="eastAsia" w:ascii="仿宋_GB2312" w:hAnsi="仿宋_GB2312" w:eastAsia="仿宋_GB2312" w:cs="仿宋_GB2312"/>
          <w:b/>
          <w:color w:val="000000" w:themeColor="text1"/>
          <w:sz w:val="48"/>
          <w:szCs w:val="32"/>
          <w:lang w:eastAsia="zh-CN"/>
          <w14:textFill>
            <w14:solidFill>
              <w14:schemeClr w14:val="tx1"/>
            </w14:solidFill>
          </w14:textFill>
        </w:rPr>
      </w:pPr>
      <w:r>
        <w:rPr>
          <w:rFonts w:hint="eastAsia" w:ascii="仿宋_GB2312" w:hAnsi="仿宋_GB2312" w:eastAsia="仿宋_GB2312" w:cs="仿宋_GB2312"/>
          <w:b/>
          <w:color w:val="000000" w:themeColor="text1"/>
          <w:sz w:val="48"/>
          <w:szCs w:val="32"/>
          <w:lang w:eastAsia="zh-CN"/>
          <w14:textFill>
            <w14:solidFill>
              <w14:schemeClr w14:val="tx1"/>
            </w14:solidFill>
          </w14:textFill>
        </w:rPr>
        <w:t>（</w:t>
      </w:r>
      <w:r>
        <w:rPr>
          <w:rFonts w:hint="eastAsia" w:ascii="仿宋_GB2312" w:hAnsi="仿宋_GB2312" w:eastAsia="仿宋_GB2312" w:cs="仿宋_GB2312"/>
          <w:b/>
          <w:color w:val="000000" w:themeColor="text1"/>
          <w:sz w:val="48"/>
          <w:szCs w:val="32"/>
          <w:lang w:val="en-US" w:eastAsia="zh-CN"/>
          <w14:textFill>
            <w14:solidFill>
              <w14:schemeClr w14:val="tx1"/>
            </w14:solidFill>
          </w14:textFill>
        </w:rPr>
        <w:t>预公告版</w:t>
      </w:r>
      <w:r>
        <w:rPr>
          <w:rFonts w:hint="eastAsia" w:ascii="仿宋_GB2312" w:hAnsi="仿宋_GB2312" w:eastAsia="仿宋_GB2312" w:cs="仿宋_GB2312"/>
          <w:b/>
          <w:color w:val="000000" w:themeColor="text1"/>
          <w:sz w:val="48"/>
          <w:szCs w:val="32"/>
          <w:lang w:eastAsia="zh-CN"/>
          <w14:textFill>
            <w14:solidFill>
              <w14:schemeClr w14:val="tx1"/>
            </w14:solidFill>
          </w14:textFill>
        </w:rPr>
        <w:t>）</w:t>
      </w:r>
    </w:p>
    <w:p w14:paraId="02806ED8">
      <w:pPr>
        <w:pStyle w:val="6"/>
        <w:jc w:val="center"/>
        <w:outlineLvl w:val="2"/>
        <w:rPr>
          <w:rFonts w:ascii="仿宋_GB2312" w:hAnsi="仿宋_GB2312" w:eastAsia="仿宋_GB2312" w:cs="仿宋_GB2312"/>
          <w:b/>
          <w:color w:val="000000" w:themeColor="text1"/>
          <w:sz w:val="36"/>
          <w:szCs w:val="22"/>
          <w14:textFill>
            <w14:solidFill>
              <w14:schemeClr w14:val="tx1"/>
            </w14:solidFill>
          </w14:textFill>
        </w:rPr>
      </w:pPr>
    </w:p>
    <w:p w14:paraId="1000D69D">
      <w:pPr>
        <w:pStyle w:val="6"/>
        <w:jc w:val="center"/>
        <w:outlineLvl w:val="2"/>
        <w:rPr>
          <w:color w:val="000000" w:themeColor="text1"/>
          <w:sz w:val="21"/>
          <w:szCs w:val="21"/>
          <w14:textFill>
            <w14:solidFill>
              <w14:schemeClr w14:val="tx1"/>
            </w14:solidFill>
          </w14:textFill>
        </w:rPr>
      </w:pPr>
      <w:r>
        <w:rPr>
          <w:rFonts w:ascii="仿宋_GB2312" w:hAnsi="仿宋_GB2312" w:eastAsia="仿宋_GB2312" w:cs="仿宋_GB2312"/>
          <w:b/>
          <w:color w:val="000000" w:themeColor="text1"/>
          <w:sz w:val="32"/>
          <w:szCs w:val="21"/>
          <w14:textFill>
            <w14:solidFill>
              <w14:schemeClr w14:val="tx1"/>
            </w14:solidFill>
          </w14:textFill>
        </w:rPr>
        <w:t>项目名称：2027-2029年乌龙江公园淮安大桥至湾边大桥段（不含沙滩公园）绿化养护服务项目</w:t>
      </w:r>
    </w:p>
    <w:p w14:paraId="70D4A321">
      <w:pPr>
        <w:pStyle w:val="6"/>
        <w:jc w:val="center"/>
        <w:outlineLvl w:val="2"/>
        <w:rPr>
          <w:rFonts w:ascii="仿宋_GB2312" w:hAnsi="仿宋_GB2312" w:eastAsia="仿宋_GB2312" w:cs="仿宋_GB2312"/>
          <w:b/>
          <w:color w:val="000000" w:themeColor="text1"/>
          <w:sz w:val="32"/>
          <w:szCs w:val="21"/>
          <w14:textFill>
            <w14:solidFill>
              <w14:schemeClr w14:val="tx1"/>
            </w14:solidFill>
          </w14:textFill>
        </w:rPr>
      </w:pPr>
    </w:p>
    <w:p w14:paraId="3CF1BF7C">
      <w:pPr>
        <w:pStyle w:val="6"/>
        <w:jc w:val="center"/>
        <w:outlineLvl w:val="2"/>
        <w:rPr>
          <w:color w:val="000000" w:themeColor="text1"/>
          <w:sz w:val="21"/>
          <w:szCs w:val="21"/>
          <w14:textFill>
            <w14:solidFill>
              <w14:schemeClr w14:val="tx1"/>
            </w14:solidFill>
          </w14:textFill>
        </w:rPr>
      </w:pPr>
      <w:r>
        <w:rPr>
          <w:rFonts w:ascii="仿宋_GB2312" w:hAnsi="仿宋_GB2312" w:eastAsia="仿宋_GB2312" w:cs="仿宋_GB2312"/>
          <w:b/>
          <w:color w:val="000000" w:themeColor="text1"/>
          <w:sz w:val="32"/>
          <w:szCs w:val="21"/>
          <w14:textFill>
            <w14:solidFill>
              <w14:schemeClr w14:val="tx1"/>
            </w14:solidFill>
          </w14:textFill>
        </w:rPr>
        <w:t>备案编号：CGXM-2026-350101-02720[2026]01340</w:t>
      </w:r>
    </w:p>
    <w:p w14:paraId="2E5BE476">
      <w:pPr>
        <w:pStyle w:val="6"/>
        <w:jc w:val="center"/>
        <w:outlineLvl w:val="2"/>
        <w:rPr>
          <w:rFonts w:ascii="仿宋_GB2312" w:hAnsi="仿宋_GB2312" w:eastAsia="仿宋_GB2312" w:cs="仿宋_GB2312"/>
          <w:b/>
          <w:color w:val="000000" w:themeColor="text1"/>
          <w:sz w:val="32"/>
          <w:szCs w:val="21"/>
          <w14:textFill>
            <w14:solidFill>
              <w14:schemeClr w14:val="tx1"/>
            </w14:solidFill>
          </w14:textFill>
        </w:rPr>
      </w:pPr>
    </w:p>
    <w:p w14:paraId="29FF30C6">
      <w:pPr>
        <w:pStyle w:val="6"/>
        <w:jc w:val="center"/>
        <w:outlineLvl w:val="2"/>
        <w:rPr>
          <w:color w:val="000000" w:themeColor="text1"/>
          <w:sz w:val="21"/>
          <w:szCs w:val="21"/>
          <w14:textFill>
            <w14:solidFill>
              <w14:schemeClr w14:val="tx1"/>
            </w14:solidFill>
          </w14:textFill>
        </w:rPr>
      </w:pPr>
      <w:r>
        <w:rPr>
          <w:rFonts w:ascii="仿宋_GB2312" w:hAnsi="仿宋_GB2312" w:eastAsia="仿宋_GB2312" w:cs="仿宋_GB2312"/>
          <w:b/>
          <w:color w:val="000000" w:themeColor="text1"/>
          <w:sz w:val="32"/>
          <w:szCs w:val="21"/>
          <w14:textFill>
            <w14:solidFill>
              <w14:schemeClr w14:val="tx1"/>
            </w14:solidFill>
          </w14:textFill>
        </w:rPr>
        <w:t>项目编号：[350101]TZXM[GK]2026001</w:t>
      </w:r>
    </w:p>
    <w:p w14:paraId="4EE1F881">
      <w:pPr>
        <w:pStyle w:val="6"/>
        <w:jc w:val="center"/>
        <w:outlineLvl w:val="2"/>
        <w:rPr>
          <w:rFonts w:ascii="仿宋_GB2312" w:hAnsi="仿宋_GB2312" w:eastAsia="仿宋_GB2312" w:cs="仿宋_GB2312"/>
          <w:b/>
          <w:color w:val="000000" w:themeColor="text1"/>
          <w:sz w:val="32"/>
          <w:szCs w:val="21"/>
          <w14:textFill>
            <w14:solidFill>
              <w14:schemeClr w14:val="tx1"/>
            </w14:solidFill>
          </w14:textFill>
        </w:rPr>
      </w:pPr>
    </w:p>
    <w:p w14:paraId="21E749BB">
      <w:pPr>
        <w:pStyle w:val="6"/>
        <w:jc w:val="center"/>
        <w:outlineLvl w:val="2"/>
        <w:rPr>
          <w:rFonts w:ascii="仿宋_GB2312" w:hAnsi="仿宋_GB2312" w:eastAsia="仿宋_GB2312" w:cs="仿宋_GB2312"/>
          <w:b/>
          <w:color w:val="000000" w:themeColor="text1"/>
          <w:sz w:val="32"/>
          <w:szCs w:val="21"/>
          <w14:textFill>
            <w14:solidFill>
              <w14:schemeClr w14:val="tx1"/>
            </w14:solidFill>
          </w14:textFill>
        </w:rPr>
      </w:pPr>
    </w:p>
    <w:p w14:paraId="5B115FF3">
      <w:pPr>
        <w:pStyle w:val="6"/>
        <w:jc w:val="center"/>
        <w:outlineLvl w:val="2"/>
        <w:rPr>
          <w:rFonts w:ascii="仿宋_GB2312" w:hAnsi="仿宋_GB2312" w:eastAsia="仿宋_GB2312" w:cs="仿宋_GB2312"/>
          <w:b/>
          <w:color w:val="000000" w:themeColor="text1"/>
          <w:sz w:val="32"/>
          <w:szCs w:val="21"/>
          <w14:textFill>
            <w14:solidFill>
              <w14:schemeClr w14:val="tx1"/>
            </w14:solidFill>
          </w14:textFill>
        </w:rPr>
      </w:pPr>
    </w:p>
    <w:p w14:paraId="284293FF">
      <w:pPr>
        <w:pStyle w:val="6"/>
        <w:jc w:val="center"/>
        <w:outlineLvl w:val="2"/>
        <w:rPr>
          <w:color w:val="000000" w:themeColor="text1"/>
          <w:sz w:val="21"/>
          <w:szCs w:val="21"/>
          <w14:textFill>
            <w14:solidFill>
              <w14:schemeClr w14:val="tx1"/>
            </w14:solidFill>
          </w14:textFill>
        </w:rPr>
      </w:pPr>
      <w:r>
        <w:rPr>
          <w:rFonts w:ascii="仿宋_GB2312" w:hAnsi="仿宋_GB2312" w:eastAsia="仿宋_GB2312" w:cs="仿宋_GB2312"/>
          <w:b/>
          <w:color w:val="000000" w:themeColor="text1"/>
          <w:sz w:val="32"/>
          <w:szCs w:val="21"/>
          <w14:textFill>
            <w14:solidFill>
              <w14:schemeClr w14:val="tx1"/>
            </w14:solidFill>
          </w14:textFill>
        </w:rPr>
        <w:t>采购人：福州市乌龙江公园管理处</w:t>
      </w:r>
    </w:p>
    <w:p w14:paraId="1ABB74BB">
      <w:pPr>
        <w:pStyle w:val="6"/>
        <w:jc w:val="center"/>
        <w:outlineLvl w:val="2"/>
        <w:rPr>
          <w:rFonts w:ascii="仿宋_GB2312" w:hAnsi="仿宋_GB2312" w:eastAsia="仿宋_GB2312" w:cs="仿宋_GB2312"/>
          <w:b/>
          <w:color w:val="000000" w:themeColor="text1"/>
          <w:sz w:val="32"/>
          <w:szCs w:val="21"/>
          <w14:textFill>
            <w14:solidFill>
              <w14:schemeClr w14:val="tx1"/>
            </w14:solidFill>
          </w14:textFill>
        </w:rPr>
      </w:pPr>
    </w:p>
    <w:p w14:paraId="65131335">
      <w:pPr>
        <w:pStyle w:val="6"/>
        <w:jc w:val="center"/>
        <w:outlineLvl w:val="2"/>
        <w:rPr>
          <w:color w:val="000000" w:themeColor="text1"/>
          <w:sz w:val="21"/>
          <w:szCs w:val="21"/>
          <w14:textFill>
            <w14:solidFill>
              <w14:schemeClr w14:val="tx1"/>
            </w14:solidFill>
          </w14:textFill>
        </w:rPr>
      </w:pPr>
      <w:r>
        <w:rPr>
          <w:rFonts w:ascii="仿宋_GB2312" w:hAnsi="仿宋_GB2312" w:eastAsia="仿宋_GB2312" w:cs="仿宋_GB2312"/>
          <w:b/>
          <w:color w:val="000000" w:themeColor="text1"/>
          <w:sz w:val="32"/>
          <w:szCs w:val="21"/>
          <w14:textFill>
            <w14:solidFill>
              <w14:schemeClr w14:val="tx1"/>
            </w14:solidFill>
          </w14:textFill>
        </w:rPr>
        <w:t>代理机构：天哲项目管理有限公司</w:t>
      </w:r>
    </w:p>
    <w:p w14:paraId="20A22CA8">
      <w:pPr>
        <w:pStyle w:val="6"/>
        <w:jc w:val="center"/>
        <w:outlineLvl w:val="2"/>
        <w:rPr>
          <w:rFonts w:ascii="仿宋_GB2312" w:hAnsi="仿宋_GB2312" w:eastAsia="仿宋_GB2312" w:cs="仿宋_GB2312"/>
          <w:b/>
          <w:color w:val="000000" w:themeColor="text1"/>
          <w:sz w:val="32"/>
          <w:szCs w:val="21"/>
          <w14:textFill>
            <w14:solidFill>
              <w14:schemeClr w14:val="tx1"/>
            </w14:solidFill>
          </w14:textFill>
        </w:rPr>
      </w:pPr>
    </w:p>
    <w:p w14:paraId="60FC5EEA">
      <w:pPr>
        <w:pStyle w:val="6"/>
        <w:jc w:val="center"/>
        <w:outlineLvl w:val="2"/>
        <w:rPr>
          <w:color w:val="000000" w:themeColor="text1"/>
          <w:sz w:val="21"/>
          <w:szCs w:val="21"/>
          <w14:textFill>
            <w14:solidFill>
              <w14:schemeClr w14:val="tx1"/>
            </w14:solidFill>
          </w14:textFill>
        </w:rPr>
      </w:pPr>
      <w:r>
        <w:rPr>
          <w:rFonts w:ascii="仿宋_GB2312" w:hAnsi="仿宋_GB2312" w:eastAsia="仿宋_GB2312" w:cs="仿宋_GB2312"/>
          <w:b/>
          <w:color w:val="000000" w:themeColor="text1"/>
          <w:sz w:val="32"/>
          <w:szCs w:val="21"/>
          <w14:textFill>
            <w14:solidFill>
              <w14:schemeClr w14:val="tx1"/>
            </w14:solidFill>
          </w14:textFill>
        </w:rPr>
        <w:t>编制时间：2026年</w:t>
      </w:r>
      <w:r>
        <w:rPr>
          <w:rFonts w:hint="eastAsia" w:ascii="仿宋_GB2312" w:hAnsi="仿宋_GB2312" w:eastAsia="仿宋_GB2312" w:cs="仿宋_GB2312"/>
          <w:b/>
          <w:color w:val="000000" w:themeColor="text1"/>
          <w:sz w:val="32"/>
          <w:szCs w:val="21"/>
          <w:lang w:val="en-US" w:eastAsia="zh-CN"/>
          <w14:textFill>
            <w14:solidFill>
              <w14:schemeClr w14:val="tx1"/>
            </w14:solidFill>
          </w14:textFill>
        </w:rPr>
        <w:t>10</w:t>
      </w:r>
      <w:r>
        <w:rPr>
          <w:rFonts w:ascii="仿宋_GB2312" w:hAnsi="仿宋_GB2312" w:eastAsia="仿宋_GB2312" w:cs="仿宋_GB2312"/>
          <w:b/>
          <w:color w:val="000000" w:themeColor="text1"/>
          <w:sz w:val="32"/>
          <w:szCs w:val="21"/>
          <w14:textFill>
            <w14:solidFill>
              <w14:schemeClr w14:val="tx1"/>
            </w14:solidFill>
          </w14:textFill>
        </w:rPr>
        <w:t>月</w:t>
      </w:r>
    </w:p>
    <w:p w14:paraId="0C2BBDDC">
      <w:pPr>
        <w:pStyle w:val="6"/>
        <w:jc w:val="center"/>
        <w:outlineLvl w:val="1"/>
        <w:rPr>
          <w:rFonts w:ascii="仿宋_GB2312" w:hAnsi="仿宋_GB2312" w:eastAsia="仿宋_GB2312" w:cs="仿宋_GB2312"/>
          <w:color w:val="000000" w:themeColor="text1"/>
          <w:sz w:val="18"/>
          <w:szCs w:val="18"/>
          <w14:textFill>
            <w14:solidFill>
              <w14:schemeClr w14:val="tx1"/>
            </w14:solidFill>
          </w14:textFill>
        </w:rPr>
        <w:sectPr>
          <w:pgSz w:w="11906" w:h="16838"/>
          <w:pgMar w:top="1440" w:right="1800" w:bottom="1440" w:left="1800" w:header="851" w:footer="992" w:gutter="0"/>
          <w:cols w:space="425" w:num="1"/>
          <w:docGrid w:type="lines" w:linePitch="312" w:charSpace="0"/>
        </w:sectPr>
      </w:pPr>
      <w:r>
        <w:rPr>
          <w:rFonts w:ascii="仿宋_GB2312" w:hAnsi="仿宋_GB2312" w:eastAsia="仿宋_GB2312" w:cs="仿宋_GB2312"/>
          <w:color w:val="000000" w:themeColor="text1"/>
          <w:sz w:val="18"/>
          <w:szCs w:val="18"/>
          <w14:textFill>
            <w14:solidFill>
              <w14:schemeClr w14:val="tx1"/>
            </w14:solidFill>
          </w14:textFill>
        </w:rPr>
        <w:t xml:space="preserve"> </w:t>
      </w:r>
      <w:r>
        <w:rPr>
          <w:rFonts w:ascii="仿宋_GB2312" w:hAnsi="仿宋_GB2312" w:eastAsia="仿宋_GB2312" w:cs="仿宋_GB2312"/>
          <w:color w:val="000000" w:themeColor="text1"/>
          <w:sz w:val="18"/>
          <w:szCs w:val="18"/>
          <w14:textFill>
            <w14:solidFill>
              <w14:schemeClr w14:val="tx1"/>
            </w14:solidFill>
          </w14:textFill>
        </w:rPr>
        <w:br w:type="textWrapping"/>
      </w:r>
    </w:p>
    <w:p w14:paraId="00740E21">
      <w:pPr>
        <w:pStyle w:val="6"/>
        <w:jc w:val="center"/>
        <w:outlineLvl w:val="1"/>
        <w:rPr>
          <w:color w:val="000000" w:themeColor="text1"/>
          <w14:textFill>
            <w14:solidFill>
              <w14:schemeClr w14:val="tx1"/>
            </w14:solidFill>
          </w14:textFill>
        </w:rPr>
      </w:pPr>
      <w:r>
        <w:rPr>
          <w:rFonts w:ascii="仿宋_GB2312" w:hAnsi="仿宋_GB2312" w:eastAsia="仿宋_GB2312" w:cs="仿宋_GB2312"/>
          <w:b/>
          <w:color w:val="000000" w:themeColor="text1"/>
          <w:sz w:val="36"/>
          <w14:textFill>
            <w14:solidFill>
              <w14:schemeClr w14:val="tx1"/>
            </w14:solidFill>
          </w14:textFill>
        </w:rPr>
        <w:t>第一章 投标邀请</w:t>
      </w:r>
    </w:p>
    <w:p w14:paraId="74D70A5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天哲项目管理有限公司 采用公开招标方式组织 2027-2029年乌龙江公园淮安大桥至湾边大桥段（不含沙滩公园）绿化养护服务项目 （以下简称：“本项目”）的政府采购活动，现邀请供应商参加投标。</w:t>
      </w:r>
    </w:p>
    <w:p w14:paraId="33744188">
      <w:pPr>
        <w:pStyle w:val="6"/>
        <w:ind w:firstLine="480"/>
        <w:jc w:val="left"/>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1、备案编号：CGXM-2026-350101-02720[2026]01340</w:t>
      </w:r>
    </w:p>
    <w:p w14:paraId="7C7DA11F">
      <w:pPr>
        <w:pStyle w:val="6"/>
        <w:ind w:firstLine="480"/>
        <w:jc w:val="left"/>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2、项目编号：[350101]TZXM[GK]2026001</w:t>
      </w:r>
    </w:p>
    <w:p w14:paraId="06701C45">
      <w:pPr>
        <w:pStyle w:val="6"/>
        <w:ind w:firstLine="480"/>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3、预算金额、最高限价：详见《采购标的一览表》。</w:t>
      </w:r>
    </w:p>
    <w:p w14:paraId="59363418">
      <w:pPr>
        <w:pStyle w:val="6"/>
        <w:ind w:firstLine="480"/>
        <w:jc w:val="left"/>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4、招标内容及要求：详见《采购标的一览表》及招标文件第五章。</w:t>
      </w:r>
    </w:p>
    <w:p w14:paraId="5EEBADD7">
      <w:pPr>
        <w:pStyle w:val="6"/>
        <w:ind w:firstLine="480"/>
        <w:jc w:val="left"/>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5、需要落实的政府采购政策</w:t>
      </w:r>
    </w:p>
    <w:p w14:paraId="71AC911B">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进口产品：本项目不适用</w:t>
      </w:r>
    </w:p>
    <w:p w14:paraId="37DD5A58">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节能产品：本项目不适用</w:t>
      </w:r>
    </w:p>
    <w:p w14:paraId="01949238">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环境标志产品：本项目不适用</w:t>
      </w:r>
    </w:p>
    <w:p w14:paraId="50549190">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促进中小企业发展的相关政策：</w:t>
      </w:r>
    </w:p>
    <w:p w14:paraId="40A2D88A">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采购包1：专门采购包预留</w:t>
      </w:r>
    </w:p>
    <w:p w14:paraId="121444A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面向的企业规模：中小企业</w:t>
      </w:r>
    </w:p>
    <w:p w14:paraId="7A4E131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预留形式：专门采购包预留</w:t>
      </w:r>
    </w:p>
    <w:p w14:paraId="53793BD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预留比例：100%</w:t>
      </w:r>
    </w:p>
    <w:p w14:paraId="542E4958">
      <w:pPr>
        <w:pStyle w:val="6"/>
        <w:ind w:firstLine="480"/>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6、投标人的资格要求</w:t>
      </w:r>
    </w:p>
    <w:p w14:paraId="3E17DDAA">
      <w:pPr>
        <w:pStyle w:val="6"/>
        <w:ind w:firstLine="96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6.1法定条件：符合政府采购法第二十二条第一款规定的条件。</w:t>
      </w:r>
    </w:p>
    <w:p w14:paraId="2F582188">
      <w:pPr>
        <w:pStyle w:val="6"/>
        <w:ind w:firstLine="96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6.2特定条件：</w:t>
      </w:r>
    </w:p>
    <w:p w14:paraId="00072E35">
      <w:pPr>
        <w:pStyle w:val="6"/>
        <w:ind w:firstLine="96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409170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11134E2">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资格审查要求概况</w:t>
            </w:r>
          </w:p>
        </w:tc>
        <w:tc>
          <w:tcPr>
            <w:tcW w:w="4614" w:type="dxa"/>
          </w:tcPr>
          <w:p w14:paraId="52355866">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评审点具体描述</w:t>
            </w:r>
          </w:p>
        </w:tc>
      </w:tr>
      <w:tr w14:paraId="2543FA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ADDE641">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资格承诺函</w:t>
            </w:r>
          </w:p>
        </w:tc>
        <w:tc>
          <w:tcPr>
            <w:tcW w:w="4614" w:type="dxa"/>
          </w:tcPr>
          <w:p w14:paraId="63161ED4">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064033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5335882">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本采购包属于专门面向中小企业采购。</w:t>
            </w:r>
          </w:p>
        </w:tc>
        <w:tc>
          <w:tcPr>
            <w:tcW w:w="4614" w:type="dxa"/>
          </w:tcPr>
          <w:p w14:paraId="4F720BE2">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本采购包为专门面向中小企业采购，投标人须提供中小企业声明函。监狱企业、残疾人福利性单位视同小型、微型企业。</w:t>
            </w:r>
          </w:p>
        </w:tc>
      </w:tr>
    </w:tbl>
    <w:p w14:paraId="3D9E4564">
      <w:pPr>
        <w:pStyle w:val="6"/>
        <w:ind w:firstLine="96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6.3是否接受联合体投标：</w:t>
      </w:r>
    </w:p>
    <w:p w14:paraId="0BDC328C">
      <w:pPr>
        <w:pStyle w:val="6"/>
        <w:ind w:firstLine="96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采购包1：不接受</w:t>
      </w:r>
    </w:p>
    <w:p w14:paraId="437947C7">
      <w:pPr>
        <w:pStyle w:val="6"/>
        <w:ind w:firstLine="480"/>
        <w:jc w:val="both"/>
        <w:rPr>
          <w:color w:val="000000" w:themeColor="text1"/>
          <w14:textFill>
            <w14:solidFill>
              <w14:schemeClr w14:val="tx1"/>
            </w14:solidFill>
          </w14:textFill>
        </w:rPr>
      </w:pPr>
      <w:r>
        <w:rPr>
          <w:rFonts w:ascii="仿宋_GB2312" w:hAnsi="仿宋_GB2312" w:eastAsia="仿宋_GB2312" w:cs="仿宋_GB2312"/>
          <w:b/>
          <w:color w:val="000000" w:themeColor="text1"/>
          <w14:textFill>
            <w14:solidFill>
              <w14:schemeClr w14:val="tx1"/>
            </w14:solidFill>
          </w14:textFill>
        </w:rPr>
        <w:t>※根据上述资格要求，电子投标文件中应提交的“投标人的资格及资信证明文件”详见招标文件第四章。</w:t>
      </w:r>
    </w:p>
    <w:p w14:paraId="5815230D">
      <w:pPr>
        <w:pStyle w:val="6"/>
        <w:ind w:firstLine="480"/>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7、招标文件的获取</w:t>
      </w:r>
    </w:p>
    <w:p w14:paraId="1BEB361A">
      <w:pPr>
        <w:pStyle w:val="6"/>
        <w:ind w:firstLine="96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7.1、招标文件获取期限：详见招标公告或更正公告，若不一致，以更正公告为准。</w:t>
      </w:r>
    </w:p>
    <w:p w14:paraId="0F36A54D">
      <w:pPr>
        <w:pStyle w:val="6"/>
        <w:ind w:firstLine="96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7.2、在招标文件获取期限内，供应商应通过福建省政府采购网上公开信息系统的注册账号（免费注册）并获取招标文件(登录福建省政府采购网上公开信息系统进行文件获取)，否则投标将被拒绝。</w:t>
      </w:r>
    </w:p>
    <w:p w14:paraId="1BB4B60A">
      <w:pPr>
        <w:pStyle w:val="6"/>
        <w:ind w:firstLine="96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7.3、获取地点及方式：注册账号后，通过福建省政府采购网上公开信息系统以下载方式获取。</w:t>
      </w:r>
    </w:p>
    <w:p w14:paraId="4DD9704D">
      <w:pPr>
        <w:pStyle w:val="6"/>
        <w:ind w:firstLine="96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7.4、招标文件售价：0元。</w:t>
      </w:r>
    </w:p>
    <w:p w14:paraId="7EEE67B1">
      <w:pPr>
        <w:pStyle w:val="6"/>
        <w:ind w:firstLine="480"/>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8、投标截止</w:t>
      </w:r>
    </w:p>
    <w:p w14:paraId="2483D7B4">
      <w:pPr>
        <w:pStyle w:val="6"/>
        <w:ind w:firstLine="96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8.1、投标截止时间：详见招标公告或更正公告，若不一致，以更正公告为准。</w:t>
      </w:r>
    </w:p>
    <w:p w14:paraId="07DB3759">
      <w:pPr>
        <w:pStyle w:val="6"/>
        <w:ind w:firstLine="96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8.2、投标人应在投标截止时间前按照福建省政府采购网上公开信息系统设定的操作流程将电子投标文件上传至福建省政府采购网上公开信息系统，否则投标将被拒绝。</w:t>
      </w:r>
    </w:p>
    <w:p w14:paraId="44EA93A5">
      <w:pPr>
        <w:pStyle w:val="6"/>
        <w:ind w:firstLine="480"/>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9、开标时间及地点</w:t>
      </w:r>
    </w:p>
    <w:p w14:paraId="1CE05554">
      <w:pPr>
        <w:pStyle w:val="6"/>
        <w:ind w:firstLine="96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详见招标公告或更正公告，若不一致，以更正公告为准。</w:t>
      </w:r>
    </w:p>
    <w:p w14:paraId="218EA022">
      <w:pPr>
        <w:pStyle w:val="6"/>
        <w:ind w:firstLine="480"/>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10、公告期限</w:t>
      </w:r>
    </w:p>
    <w:p w14:paraId="2DCC6651">
      <w:pPr>
        <w:pStyle w:val="6"/>
        <w:ind w:firstLine="96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10.1、招标公告的公告期限：自财政部和福建省财政厅指定的政府采购信息发布媒体最先发布公告之日起5个工作日。</w:t>
      </w:r>
    </w:p>
    <w:p w14:paraId="6EA301EC">
      <w:pPr>
        <w:pStyle w:val="6"/>
        <w:ind w:firstLine="96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10.2、招标文件公告期限：招标文件随同招标公告一并发布，其公告期限与招标公告的公告期限保持一致。</w:t>
      </w:r>
    </w:p>
    <w:p w14:paraId="7201069C">
      <w:pPr>
        <w:pStyle w:val="6"/>
        <w:ind w:firstLine="480"/>
        <w:jc w:val="left"/>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11、采购人：福州市乌龙江公园管理处</w:t>
      </w:r>
    </w:p>
    <w:p w14:paraId="5F512C4C">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地址： </w:t>
      </w:r>
      <w:r>
        <w:rPr>
          <w:rFonts w:hint="eastAsia" w:ascii="仿宋_GB2312" w:hAnsi="仿宋_GB2312" w:eastAsia="仿宋_GB2312" w:cs="仿宋_GB2312"/>
          <w:color w:val="000000" w:themeColor="text1"/>
          <w14:textFill>
            <w14:solidFill>
              <w14:schemeClr w14:val="tx1"/>
            </w14:solidFill>
          </w14:textFill>
        </w:rPr>
        <w:t>福州市仓山区金山街道西三环路421号</w:t>
      </w:r>
    </w:p>
    <w:p w14:paraId="14C28D5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邮编： 350000</w:t>
      </w:r>
    </w:p>
    <w:p w14:paraId="5167376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联系人： 郑国华</w:t>
      </w:r>
    </w:p>
    <w:p w14:paraId="39D0B08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联系电话：</w:t>
      </w:r>
      <w:r>
        <w:rPr>
          <w:rFonts w:hint="eastAsia" w:ascii="仿宋_GB2312" w:hAnsi="仿宋_GB2312" w:eastAsia="仿宋_GB2312" w:cs="仿宋_GB2312"/>
          <w:color w:val="000000" w:themeColor="text1"/>
          <w14:textFill>
            <w14:solidFill>
              <w14:schemeClr w14:val="tx1"/>
            </w14:solidFill>
          </w14:textFill>
        </w:rPr>
        <w:t>0591-87602696</w:t>
      </w:r>
    </w:p>
    <w:p w14:paraId="7D4D7732">
      <w:pPr>
        <w:pStyle w:val="6"/>
        <w:ind w:firstLine="480"/>
        <w:jc w:val="left"/>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12、代理机构：天哲项目管理有限公司</w:t>
      </w:r>
    </w:p>
    <w:p w14:paraId="317811E2">
      <w:pPr>
        <w:pStyle w:val="6"/>
        <w:ind w:firstLine="96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地址： 福建省福州市罗源县白塔乡凤坂村杭下104-2号</w:t>
      </w:r>
    </w:p>
    <w:p w14:paraId="1E028F2A">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邮编： 350600</w:t>
      </w:r>
    </w:p>
    <w:p w14:paraId="729F8A49">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联系人： 林汉鹏</w:t>
      </w:r>
    </w:p>
    <w:p w14:paraId="634E6890">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联系电话： 15205088877</w:t>
      </w:r>
    </w:p>
    <w:p w14:paraId="79964636">
      <w:pPr>
        <w:pStyle w:val="6"/>
        <w:ind w:firstLine="480"/>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附1：账户信息</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3FC1B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E60C4C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投标保证金账户</w:t>
            </w:r>
          </w:p>
          <w:p w14:paraId="184749DF">
            <w:pPr>
              <w:pStyle w:val="6"/>
              <w:jc w:val="left"/>
              <w:rPr>
                <w:color w:val="000000" w:themeColor="text1"/>
                <w14:textFill>
                  <w14:solidFill>
                    <w14:schemeClr w14:val="tx1"/>
                  </w14:solidFill>
                </w14:textFill>
              </w:rPr>
            </w:pPr>
          </w:p>
        </w:tc>
      </w:tr>
      <w:tr w14:paraId="5FC0BA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ED2F9B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开户名称： 天哲项目管理有限公司</w:t>
            </w:r>
          </w:p>
        </w:tc>
      </w:tr>
      <w:tr w14:paraId="45CDAB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50A338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开户银行：供应商在福建省政府采购网上公开信息系统获取招标文件后，根据其提示自行选择要缴交的投标保证金托管银行。</w:t>
            </w:r>
          </w:p>
        </w:tc>
      </w:tr>
      <w:tr w14:paraId="084EE7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897D8E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4F2387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B9D78D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特别提示</w:t>
            </w:r>
          </w:p>
        </w:tc>
      </w:tr>
      <w:tr w14:paraId="2E2589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6E28D0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1、投标人应认真核对账户信息，将投标保证金汇入以上账户，并自行承担因汇错投标保证金而产生的一切后果。</w:t>
            </w:r>
          </w:p>
          <w:p w14:paraId="7DCC1C0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2、投标人在转账或电汇的凭证上应按照以下格式注明，以便核对：“（项目编号：***）的投标保证金”。</w:t>
            </w:r>
          </w:p>
        </w:tc>
      </w:tr>
    </w:tbl>
    <w:p w14:paraId="317767AF">
      <w:pPr>
        <w:pStyle w:val="6"/>
        <w:ind w:firstLine="480"/>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附2：采购标的一览表</w:t>
      </w:r>
    </w:p>
    <w:p w14:paraId="19BEF31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w:t>
      </w:r>
    </w:p>
    <w:p w14:paraId="7BF1A01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采购包预算金额（元）: 11,124,000.00</w:t>
      </w:r>
    </w:p>
    <w:p w14:paraId="45059FA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采购包最高限价（元）: 11,124,000.00</w:t>
      </w:r>
    </w:p>
    <w:p w14:paraId="19C0E1A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采购包保证金金额（元）: 0.00</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63"/>
        <w:gridCol w:w="1185"/>
        <w:gridCol w:w="1169"/>
        <w:gridCol w:w="1516"/>
        <w:gridCol w:w="1163"/>
        <w:gridCol w:w="1163"/>
        <w:gridCol w:w="1163"/>
      </w:tblGrid>
      <w:tr w14:paraId="5E39EC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7BB1308">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序号</w:t>
            </w:r>
          </w:p>
        </w:tc>
        <w:tc>
          <w:tcPr>
            <w:tcW w:w="1187" w:type="dxa"/>
          </w:tcPr>
          <w:p w14:paraId="6C5025E9">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标的名称</w:t>
            </w:r>
          </w:p>
        </w:tc>
        <w:tc>
          <w:tcPr>
            <w:tcW w:w="1187" w:type="dxa"/>
          </w:tcPr>
          <w:p w14:paraId="5C71BE9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数量</w:t>
            </w:r>
          </w:p>
        </w:tc>
        <w:tc>
          <w:tcPr>
            <w:tcW w:w="1187" w:type="dxa"/>
          </w:tcPr>
          <w:p w14:paraId="2FEA431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标的金额 （元）</w:t>
            </w:r>
          </w:p>
        </w:tc>
        <w:tc>
          <w:tcPr>
            <w:tcW w:w="1187" w:type="dxa"/>
          </w:tcPr>
          <w:p w14:paraId="4CA39D41">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计量单位</w:t>
            </w:r>
          </w:p>
        </w:tc>
        <w:tc>
          <w:tcPr>
            <w:tcW w:w="1187" w:type="dxa"/>
          </w:tcPr>
          <w:p w14:paraId="63E9F141">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所属行业</w:t>
            </w:r>
          </w:p>
        </w:tc>
        <w:tc>
          <w:tcPr>
            <w:tcW w:w="1187" w:type="dxa"/>
          </w:tcPr>
          <w:p w14:paraId="6D4C7DB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是否允许进口产品</w:t>
            </w:r>
          </w:p>
        </w:tc>
      </w:tr>
      <w:tr w14:paraId="48D074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37070AF">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w:t>
            </w:r>
          </w:p>
        </w:tc>
        <w:tc>
          <w:tcPr>
            <w:tcW w:w="1187" w:type="dxa"/>
          </w:tcPr>
          <w:p w14:paraId="38E8D88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2027-2029年乌龙江公园淮安大桥至湾边大桥段（不含沙滩公园）绿化养护服务项目</w:t>
            </w:r>
          </w:p>
        </w:tc>
        <w:tc>
          <w:tcPr>
            <w:tcW w:w="1187" w:type="dxa"/>
          </w:tcPr>
          <w:p w14:paraId="1E89789F">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187" w:type="dxa"/>
          </w:tcPr>
          <w:p w14:paraId="429E21E2">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11,124,000.00</w:t>
            </w:r>
          </w:p>
        </w:tc>
        <w:tc>
          <w:tcPr>
            <w:tcW w:w="1187" w:type="dxa"/>
          </w:tcPr>
          <w:p w14:paraId="295721E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年</w:t>
            </w:r>
          </w:p>
        </w:tc>
        <w:tc>
          <w:tcPr>
            <w:tcW w:w="1187" w:type="dxa"/>
          </w:tcPr>
          <w:p w14:paraId="26B5442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其他未列明行业</w:t>
            </w:r>
          </w:p>
        </w:tc>
        <w:tc>
          <w:tcPr>
            <w:tcW w:w="1187" w:type="dxa"/>
          </w:tcPr>
          <w:p w14:paraId="6AB677AF">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否</w:t>
            </w:r>
          </w:p>
        </w:tc>
      </w:tr>
    </w:tbl>
    <w:p w14:paraId="1831D10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w:t>
      </w:r>
    </w:p>
    <w:p w14:paraId="11E297E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（1）报价要求：</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516"/>
        <w:gridCol w:w="1538"/>
        <w:gridCol w:w="884"/>
      </w:tblGrid>
      <w:tr w14:paraId="4479F4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4700AB4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序号</w:t>
            </w:r>
          </w:p>
        </w:tc>
        <w:tc>
          <w:tcPr>
            <w:tcW w:w="3046" w:type="dxa"/>
          </w:tcPr>
          <w:p w14:paraId="0B3E3B8B">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报价内容</w:t>
            </w:r>
          </w:p>
        </w:tc>
        <w:tc>
          <w:tcPr>
            <w:tcW w:w="554" w:type="dxa"/>
          </w:tcPr>
          <w:p w14:paraId="5710ADE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计量单位</w:t>
            </w:r>
          </w:p>
        </w:tc>
        <w:tc>
          <w:tcPr>
            <w:tcW w:w="554" w:type="dxa"/>
          </w:tcPr>
          <w:p w14:paraId="1DDC518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报价单位</w:t>
            </w:r>
          </w:p>
        </w:tc>
        <w:tc>
          <w:tcPr>
            <w:tcW w:w="1516" w:type="dxa"/>
          </w:tcPr>
          <w:p w14:paraId="2E7C8BD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最高限价</w:t>
            </w:r>
          </w:p>
        </w:tc>
        <w:tc>
          <w:tcPr>
            <w:tcW w:w="1538" w:type="dxa"/>
          </w:tcPr>
          <w:p w14:paraId="4C723D3B">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价款形式</w:t>
            </w:r>
          </w:p>
        </w:tc>
        <w:tc>
          <w:tcPr>
            <w:tcW w:w="884" w:type="dxa"/>
          </w:tcPr>
          <w:p w14:paraId="5C9DBFE5">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报价说明</w:t>
            </w:r>
          </w:p>
        </w:tc>
      </w:tr>
      <w:tr w14:paraId="14C299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33F869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w:t>
            </w:r>
          </w:p>
        </w:tc>
        <w:tc>
          <w:tcPr>
            <w:tcW w:w="3046" w:type="dxa"/>
          </w:tcPr>
          <w:p w14:paraId="7A07C43D">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2027-2029年乌龙江公园淮安大桥至湾边大桥段（不含沙滩公园）绿化养护服务项目</w:t>
            </w:r>
          </w:p>
        </w:tc>
        <w:tc>
          <w:tcPr>
            <w:tcW w:w="554" w:type="dxa"/>
          </w:tcPr>
          <w:p w14:paraId="7D4195D0">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年</w:t>
            </w:r>
          </w:p>
        </w:tc>
        <w:tc>
          <w:tcPr>
            <w:tcW w:w="554" w:type="dxa"/>
          </w:tcPr>
          <w:p w14:paraId="73E17BE0">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元</w:t>
            </w:r>
          </w:p>
        </w:tc>
        <w:tc>
          <w:tcPr>
            <w:tcW w:w="1516" w:type="dxa"/>
          </w:tcPr>
          <w:p w14:paraId="178D481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11,124,000.00</w:t>
            </w:r>
          </w:p>
        </w:tc>
        <w:tc>
          <w:tcPr>
            <w:tcW w:w="1538" w:type="dxa"/>
          </w:tcPr>
          <w:p w14:paraId="21902570">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总价</w:t>
            </w:r>
          </w:p>
        </w:tc>
        <w:tc>
          <w:tcPr>
            <w:tcW w:w="884" w:type="dxa"/>
          </w:tcPr>
          <w:p w14:paraId="790740F2">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无</w:t>
            </w:r>
          </w:p>
        </w:tc>
      </w:tr>
    </w:tbl>
    <w:p w14:paraId="1F0E83F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（2）报价明细要求：</w:t>
      </w:r>
    </w:p>
    <w:p w14:paraId="62E9A18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2027-2029年乌龙江公园淮安大桥至湾边大桥段（不含沙滩公园）绿化养护服务项目</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793"/>
        <w:gridCol w:w="1740"/>
        <w:gridCol w:w="660"/>
        <w:gridCol w:w="690"/>
        <w:gridCol w:w="1530"/>
        <w:gridCol w:w="795"/>
        <w:gridCol w:w="898"/>
      </w:tblGrid>
      <w:tr w14:paraId="0D4F22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3626AF60">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序号</w:t>
            </w:r>
          </w:p>
        </w:tc>
        <w:tc>
          <w:tcPr>
            <w:tcW w:w="1793" w:type="dxa"/>
          </w:tcPr>
          <w:p w14:paraId="0AA9223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报价明细内容</w:t>
            </w:r>
          </w:p>
        </w:tc>
        <w:tc>
          <w:tcPr>
            <w:tcW w:w="1740" w:type="dxa"/>
          </w:tcPr>
          <w:p w14:paraId="46CA6F6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报价要求</w:t>
            </w:r>
          </w:p>
        </w:tc>
        <w:tc>
          <w:tcPr>
            <w:tcW w:w="660" w:type="dxa"/>
          </w:tcPr>
          <w:p w14:paraId="2F4E697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计量单位</w:t>
            </w:r>
          </w:p>
        </w:tc>
        <w:tc>
          <w:tcPr>
            <w:tcW w:w="690" w:type="dxa"/>
          </w:tcPr>
          <w:p w14:paraId="1043944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报价单位</w:t>
            </w:r>
          </w:p>
        </w:tc>
        <w:tc>
          <w:tcPr>
            <w:tcW w:w="1530" w:type="dxa"/>
          </w:tcPr>
          <w:p w14:paraId="0F5079C0">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最高限价</w:t>
            </w:r>
          </w:p>
        </w:tc>
        <w:tc>
          <w:tcPr>
            <w:tcW w:w="795" w:type="dxa"/>
          </w:tcPr>
          <w:p w14:paraId="0AF211D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价款形式</w:t>
            </w:r>
          </w:p>
        </w:tc>
        <w:tc>
          <w:tcPr>
            <w:tcW w:w="898" w:type="dxa"/>
          </w:tcPr>
          <w:p w14:paraId="7B0BF14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报价说明</w:t>
            </w:r>
          </w:p>
        </w:tc>
      </w:tr>
      <w:tr w14:paraId="04F6C1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26CDED9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w:t>
            </w:r>
          </w:p>
        </w:tc>
        <w:tc>
          <w:tcPr>
            <w:tcW w:w="1793" w:type="dxa"/>
          </w:tcPr>
          <w:p w14:paraId="1BEA75A9">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2027-2029年乌龙江公园淮安大桥至湾边大桥段（不含沙滩公园）绿化养护服务项目</w:t>
            </w:r>
          </w:p>
        </w:tc>
        <w:tc>
          <w:tcPr>
            <w:tcW w:w="1740" w:type="dxa"/>
          </w:tcPr>
          <w:p w14:paraId="56A178C1">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2027-2029年乌龙江公园淮安大桥至湾边大桥段（不含沙滩公园）绿化养护服务项目</w:t>
            </w:r>
          </w:p>
        </w:tc>
        <w:tc>
          <w:tcPr>
            <w:tcW w:w="660" w:type="dxa"/>
          </w:tcPr>
          <w:p w14:paraId="65FA343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年</w:t>
            </w:r>
          </w:p>
        </w:tc>
        <w:tc>
          <w:tcPr>
            <w:tcW w:w="690" w:type="dxa"/>
          </w:tcPr>
          <w:p w14:paraId="1BE8C9D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元</w:t>
            </w:r>
          </w:p>
        </w:tc>
        <w:tc>
          <w:tcPr>
            <w:tcW w:w="1530" w:type="dxa"/>
          </w:tcPr>
          <w:p w14:paraId="36D11400">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11,124,000.00</w:t>
            </w:r>
          </w:p>
        </w:tc>
        <w:tc>
          <w:tcPr>
            <w:tcW w:w="795" w:type="dxa"/>
          </w:tcPr>
          <w:p w14:paraId="3F4339E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总价</w:t>
            </w:r>
          </w:p>
        </w:tc>
        <w:tc>
          <w:tcPr>
            <w:tcW w:w="898" w:type="dxa"/>
          </w:tcPr>
          <w:p w14:paraId="3F92D58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无</w:t>
            </w:r>
          </w:p>
        </w:tc>
      </w:tr>
    </w:tbl>
    <w:p w14:paraId="213D78BF">
      <w:pPr>
        <w:pStyle w:val="6"/>
        <w:jc w:val="center"/>
        <w:rPr>
          <w:color w:val="000000" w:themeColor="text1"/>
          <w14:textFill>
            <w14:solidFill>
              <w14:schemeClr w14:val="tx1"/>
            </w14:solidFill>
          </w14:textFill>
        </w:rPr>
      </w:pPr>
      <w:r>
        <w:rPr>
          <w:rFonts w:ascii="仿宋_GB2312" w:hAnsi="仿宋_GB2312" w:eastAsia="仿宋_GB2312" w:cs="仿宋_GB2312"/>
          <w:b/>
          <w:color w:val="000000" w:themeColor="text1"/>
          <w:sz w:val="36"/>
          <w14:textFill>
            <w14:solidFill>
              <w14:schemeClr w14:val="tx1"/>
            </w14:solidFill>
          </w14:textFill>
        </w:rPr>
        <w:t>第二章 投标人须知前附表</w:t>
      </w:r>
    </w:p>
    <w:p w14:paraId="369BE1BA">
      <w:pPr>
        <w:pStyle w:val="6"/>
        <w:ind w:firstLine="480"/>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一、投标人须知前附表1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28"/>
        <w:gridCol w:w="1275"/>
        <w:gridCol w:w="6404"/>
      </w:tblGrid>
      <w:tr w14:paraId="23C693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3B63230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特别提示：本表与招标文件对应章节的内容若不一致，以本表为准。</w:t>
            </w:r>
          </w:p>
        </w:tc>
      </w:tr>
      <w:tr w14:paraId="4F9F57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8" w:type="dxa"/>
          </w:tcPr>
          <w:p w14:paraId="7798E56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序号</w:t>
            </w:r>
          </w:p>
        </w:tc>
        <w:tc>
          <w:tcPr>
            <w:tcW w:w="1275" w:type="dxa"/>
          </w:tcPr>
          <w:p w14:paraId="23A47E9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招标文件</w:t>
            </w:r>
          </w:p>
          <w:p w14:paraId="562768C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（第三章）</w:t>
            </w:r>
          </w:p>
        </w:tc>
        <w:tc>
          <w:tcPr>
            <w:tcW w:w="6404" w:type="dxa"/>
          </w:tcPr>
          <w:p w14:paraId="3ED21AC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编列内容</w:t>
            </w:r>
          </w:p>
        </w:tc>
      </w:tr>
      <w:tr w14:paraId="6A093A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8" w:type="dxa"/>
          </w:tcPr>
          <w:p w14:paraId="5490384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w:t>
            </w:r>
          </w:p>
        </w:tc>
        <w:tc>
          <w:tcPr>
            <w:tcW w:w="1275" w:type="dxa"/>
          </w:tcPr>
          <w:p w14:paraId="612D480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6.1</w:t>
            </w:r>
          </w:p>
        </w:tc>
        <w:tc>
          <w:tcPr>
            <w:tcW w:w="6404" w:type="dxa"/>
          </w:tcPr>
          <w:p w14:paraId="6448694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是否组织现场考察或召开开标前答疑会：</w:t>
            </w:r>
          </w:p>
          <w:p w14:paraId="238974D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采购包1：不组织</w:t>
            </w:r>
          </w:p>
        </w:tc>
      </w:tr>
      <w:tr w14:paraId="14D690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8" w:type="dxa"/>
          </w:tcPr>
          <w:p w14:paraId="2D0DA2E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w:t>
            </w:r>
          </w:p>
        </w:tc>
        <w:tc>
          <w:tcPr>
            <w:tcW w:w="1275" w:type="dxa"/>
          </w:tcPr>
          <w:p w14:paraId="40E5300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10.4</w:t>
            </w:r>
          </w:p>
        </w:tc>
        <w:tc>
          <w:tcPr>
            <w:tcW w:w="6404" w:type="dxa"/>
          </w:tcPr>
          <w:p w14:paraId="4EB48A0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投标文件的份数：</w:t>
            </w:r>
          </w:p>
          <w:p w14:paraId="739ADFE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（1）可读介质（光盘或U盘） 0 份：投标人应将其上传至福建省政府采购网上公开信息系统的电子投标文件在该可读介质中另存 0 份。</w:t>
            </w:r>
          </w:p>
          <w:p w14:paraId="37DD909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（2）电子投标文件：详见投标人须知前附表2《关于电子招标投标活动的专门规定》。</w:t>
            </w:r>
          </w:p>
        </w:tc>
      </w:tr>
      <w:tr w14:paraId="3BDB68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8" w:type="dxa"/>
          </w:tcPr>
          <w:p w14:paraId="7CFCA9C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w:t>
            </w:r>
          </w:p>
        </w:tc>
        <w:tc>
          <w:tcPr>
            <w:tcW w:w="1275" w:type="dxa"/>
          </w:tcPr>
          <w:p w14:paraId="759A72D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10.7-（1）</w:t>
            </w:r>
          </w:p>
        </w:tc>
        <w:tc>
          <w:tcPr>
            <w:tcW w:w="6404" w:type="dxa"/>
          </w:tcPr>
          <w:p w14:paraId="5E2F75A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是否允许中标人将本项目的非主体、非关键性工作进行分包：</w:t>
            </w:r>
          </w:p>
          <w:p w14:paraId="5AB2B12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采购包1：不允许合同分包；</w:t>
            </w:r>
          </w:p>
        </w:tc>
      </w:tr>
      <w:tr w14:paraId="2893D5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8" w:type="dxa"/>
          </w:tcPr>
          <w:p w14:paraId="525041E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w:t>
            </w:r>
          </w:p>
        </w:tc>
        <w:tc>
          <w:tcPr>
            <w:tcW w:w="1275" w:type="dxa"/>
          </w:tcPr>
          <w:p w14:paraId="0D7A3B3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10.8-（1）</w:t>
            </w:r>
          </w:p>
        </w:tc>
        <w:tc>
          <w:tcPr>
            <w:tcW w:w="6404" w:type="dxa"/>
          </w:tcPr>
          <w:p w14:paraId="324C708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投标有效期：投标截止时间起 90 个日历日。</w:t>
            </w:r>
          </w:p>
        </w:tc>
      </w:tr>
      <w:tr w14:paraId="32CCCF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8" w:type="dxa"/>
          </w:tcPr>
          <w:p w14:paraId="3EA70EE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w:t>
            </w:r>
          </w:p>
        </w:tc>
        <w:tc>
          <w:tcPr>
            <w:tcW w:w="1275" w:type="dxa"/>
          </w:tcPr>
          <w:p w14:paraId="2599A52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12.1</w:t>
            </w:r>
          </w:p>
        </w:tc>
        <w:tc>
          <w:tcPr>
            <w:tcW w:w="6404" w:type="dxa"/>
          </w:tcPr>
          <w:p w14:paraId="1B4648D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确定中标候选人名单：</w:t>
            </w:r>
          </w:p>
          <w:p w14:paraId="29A2065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采购包1：1名</w:t>
            </w:r>
          </w:p>
        </w:tc>
      </w:tr>
      <w:tr w14:paraId="6A18F9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8" w:type="dxa"/>
          </w:tcPr>
          <w:p w14:paraId="586BDF8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w:t>
            </w:r>
          </w:p>
        </w:tc>
        <w:tc>
          <w:tcPr>
            <w:tcW w:w="1275" w:type="dxa"/>
          </w:tcPr>
          <w:p w14:paraId="6916D0D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12.2</w:t>
            </w:r>
          </w:p>
        </w:tc>
        <w:tc>
          <w:tcPr>
            <w:tcW w:w="6404" w:type="dxa"/>
          </w:tcPr>
          <w:p w14:paraId="6A99D33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本项目中标人的确定（以采购包为单位）：</w:t>
            </w:r>
          </w:p>
          <w:p w14:paraId="25E0CE9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 采购人应在政府采购招投标管理办法规定的时限内确定中标人。</w:t>
            </w:r>
          </w:p>
          <w:p w14:paraId="245550F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（2）若出现中标候选人并列情形，则按照下列方式确定中标人：</w:t>
            </w:r>
          </w:p>
          <w:p w14:paraId="03221F9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①招标文件规定的方式：</w:t>
            </w:r>
          </w:p>
          <w:p w14:paraId="7807210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评标总得分（FA）且评标价（即价格扣除后的投标报价）相同的并列，则按“技术项”的得分从高到低排序推荐中标候选人；若投标人的评标总得分（FA）且评标价（即价格扣除后的投标报价）相同、技术项得分也相同的，则评标委员会在有关监督人员的监督下通过随机抽签的形式，确定他们之间的排名顺序。</w:t>
            </w:r>
          </w:p>
          <w:p w14:paraId="72EB42F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②若本款第①点规定方式为“无”，则按照下列方式确定：</w:t>
            </w:r>
          </w:p>
          <w:p w14:paraId="4D2DC49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p w14:paraId="761912A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③若本款第①、②点规定方式均为“无”，则按照下列方式确定：随机抽取。</w:t>
            </w:r>
          </w:p>
          <w:p w14:paraId="7D2A77A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（3）本项目确定的中标人家数：</w:t>
            </w:r>
          </w:p>
          <w:p w14:paraId="250D87A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采购包1：1名</w:t>
            </w:r>
          </w:p>
        </w:tc>
      </w:tr>
      <w:tr w14:paraId="49C093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8" w:type="dxa"/>
          </w:tcPr>
          <w:p w14:paraId="44DBF2C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7</w:t>
            </w:r>
          </w:p>
        </w:tc>
        <w:tc>
          <w:tcPr>
            <w:tcW w:w="1275" w:type="dxa"/>
          </w:tcPr>
          <w:p w14:paraId="004580C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13.2</w:t>
            </w:r>
          </w:p>
        </w:tc>
        <w:tc>
          <w:tcPr>
            <w:tcW w:w="6404" w:type="dxa"/>
          </w:tcPr>
          <w:p w14:paraId="37EA95F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合同签订时限： 自中标通知书发出之日起30个日历日内。</w:t>
            </w:r>
          </w:p>
        </w:tc>
      </w:tr>
      <w:tr w14:paraId="50E9B5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8" w:type="dxa"/>
          </w:tcPr>
          <w:p w14:paraId="7690D14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w:t>
            </w:r>
          </w:p>
        </w:tc>
        <w:tc>
          <w:tcPr>
            <w:tcW w:w="1275" w:type="dxa"/>
          </w:tcPr>
          <w:p w14:paraId="641F38F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15.1-（2）</w:t>
            </w:r>
          </w:p>
        </w:tc>
        <w:tc>
          <w:tcPr>
            <w:tcW w:w="6404" w:type="dxa"/>
          </w:tcPr>
          <w:p w14:paraId="2CBAD7D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质疑函原件应采用下列方式提交：书面形式。</w:t>
            </w:r>
          </w:p>
        </w:tc>
      </w:tr>
      <w:tr w14:paraId="36CBBB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8" w:type="dxa"/>
          </w:tcPr>
          <w:p w14:paraId="5548065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9</w:t>
            </w:r>
          </w:p>
        </w:tc>
        <w:tc>
          <w:tcPr>
            <w:tcW w:w="1275" w:type="dxa"/>
          </w:tcPr>
          <w:p w14:paraId="4C7402C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15.4</w:t>
            </w:r>
          </w:p>
        </w:tc>
        <w:tc>
          <w:tcPr>
            <w:tcW w:w="6404" w:type="dxa"/>
          </w:tcPr>
          <w:p w14:paraId="3157816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招标文件的质疑</w:t>
            </w:r>
          </w:p>
          <w:p w14:paraId="02AB5CA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（1）潜在投标人可在质疑时效期间内对招标文件以书面形式提出质疑。</w:t>
            </w:r>
          </w:p>
          <w:p w14:paraId="03506A2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（2）质疑时效期间：应在依法获取招标文件之日起7个工作日内向 天哲项目管理有限公司 提出，依法获取招标文件的时间以福建省政府采购网上公开信息系统记载的为准。</w:t>
            </w:r>
          </w:p>
          <w:p w14:paraId="5B5AB59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※除上述规定外，对招标文件提出的质疑还应符合招标文件第三章第15.1条的有关规定。</w:t>
            </w:r>
          </w:p>
        </w:tc>
      </w:tr>
      <w:tr w14:paraId="5D29E3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8" w:type="dxa"/>
          </w:tcPr>
          <w:p w14:paraId="04F1399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w:t>
            </w:r>
          </w:p>
        </w:tc>
        <w:tc>
          <w:tcPr>
            <w:tcW w:w="1275" w:type="dxa"/>
          </w:tcPr>
          <w:p w14:paraId="43A5244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16.1</w:t>
            </w:r>
          </w:p>
        </w:tc>
        <w:tc>
          <w:tcPr>
            <w:tcW w:w="6404" w:type="dxa"/>
          </w:tcPr>
          <w:p w14:paraId="74ED48F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监督管理部门： 福州市财政局 （仅限依法进行政府采购的货物或服务类项目）。</w:t>
            </w:r>
          </w:p>
        </w:tc>
      </w:tr>
      <w:tr w14:paraId="3FBA41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8" w:type="dxa"/>
          </w:tcPr>
          <w:p w14:paraId="12C1205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w:t>
            </w:r>
          </w:p>
        </w:tc>
        <w:tc>
          <w:tcPr>
            <w:tcW w:w="1275" w:type="dxa"/>
          </w:tcPr>
          <w:p w14:paraId="23A982C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18.1</w:t>
            </w:r>
          </w:p>
        </w:tc>
        <w:tc>
          <w:tcPr>
            <w:tcW w:w="6404" w:type="dxa"/>
          </w:tcPr>
          <w:p w14:paraId="0D3F87E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财政部和福建省财政厅指定的政府采购信息发布媒体（以下简称：“指定媒体”）：</w:t>
            </w:r>
          </w:p>
          <w:p w14:paraId="6406998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（1）中国政府采购网，网址www.ccgp.gov.cn。</w:t>
            </w:r>
          </w:p>
          <w:p w14:paraId="35D06D9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（2）中国政府采购网福建分网（福建省政府采购网），网址zfcg.czt.fujian.gov.cn。</w:t>
            </w:r>
          </w:p>
          <w:p w14:paraId="22CEC7A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※若出现上述指定媒体信息不一致情形，应以中国政府采购网福建分网（福建省政府采购网）发布的为准。</w:t>
            </w:r>
          </w:p>
        </w:tc>
      </w:tr>
      <w:tr w14:paraId="350A71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8" w:type="dxa"/>
          </w:tcPr>
          <w:p w14:paraId="3A2D5D0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w:t>
            </w:r>
          </w:p>
        </w:tc>
        <w:tc>
          <w:tcPr>
            <w:tcW w:w="1275" w:type="dxa"/>
          </w:tcPr>
          <w:p w14:paraId="5AA67D3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19</w:t>
            </w:r>
          </w:p>
        </w:tc>
        <w:tc>
          <w:tcPr>
            <w:tcW w:w="6404" w:type="dxa"/>
          </w:tcPr>
          <w:p w14:paraId="1B7D519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其他事项：</w:t>
            </w:r>
          </w:p>
          <w:p w14:paraId="4EBCBFC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(1)本项目代理服务费：</w:t>
            </w:r>
          </w:p>
          <w:p w14:paraId="5F08B08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本项目收取代理服务费</w:t>
            </w:r>
          </w:p>
          <w:p w14:paraId="4EA3147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代理服务费用收取对象：中标/成交供应商</w:t>
            </w:r>
          </w:p>
          <w:p w14:paraId="0E1402B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代理服务费收费标准：以中标通知书上的中标金额作为收费的计算基数，采取差额定率累计法计算。100(万元)以下收费费率标准: 1.5%；100-500（万元）按0.8%；500-1000（万元）按0.45%；1000-5000万元按0.25%。采购代理服务费收取方式：中标人应在领取中标通知书的同时按规定的标准一次性向采购代理机构缴清采购代理服务费。采购代理服务费以银行转账、电汇、汇票或现金等付款方式。开户名：天哲项目管理有限公司 ，开户行：中国工商银行福州市罗源支行，银行账号：1402000109601040553。</w:t>
            </w:r>
          </w:p>
          <w:p w14:paraId="2A68B42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(2)其他：</w:t>
            </w:r>
          </w:p>
          <w:p w14:paraId="04BD610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投标人应一次性就同一采购程序环节的内容提出质疑，若投标人多次对同一采购程序环节提出质疑的，采购代理机构将不予以受理。2）、质疑受理的其它要求：质疑人递交质疑函时还应出具质疑人已在福建省政府采购网上公开信息系统上获取招标文件的证明文件（体现查看时间或获取招标文件时间）。【查看时间或获取招标文件时间以福建省政府采购网上公开信息系统记载为准。】在法定质疑期内质疑人须一次性提出针对同一采购程序环节的质疑，二（多）次质疑不予受理。3）、接收质疑函的方式、联系部门、联系电话和通讯地址 (1)接收质疑函的方式：</w:t>
            </w:r>
            <w:r>
              <w:rPr>
                <w:rFonts w:ascii="仿宋_GB2312" w:hAnsi="仿宋_GB2312" w:eastAsia="仿宋_GB2312" w:cs="仿宋_GB2312"/>
                <w:color w:val="FF0000"/>
              </w:rPr>
              <w:t>现场</w:t>
            </w:r>
            <w:r>
              <w:rPr>
                <w:rFonts w:hint="eastAsia" w:ascii="仿宋_GB2312" w:hAnsi="仿宋_GB2312" w:eastAsia="仿宋_GB2312" w:cs="仿宋_GB2312"/>
                <w:color w:val="FF0000"/>
                <w:lang w:val="en-US" w:eastAsia="zh-CN"/>
              </w:rPr>
              <w:t>或邮寄</w:t>
            </w:r>
            <w:r>
              <w:rPr>
                <w:rFonts w:ascii="仿宋_GB2312" w:hAnsi="仿宋_GB2312" w:eastAsia="仿宋_GB2312" w:cs="仿宋_GB2312"/>
                <w:color w:val="FF0000"/>
              </w:rPr>
              <w:t>方式（需同时递交PDF版本的质疑函电子版）</w:t>
            </w:r>
            <w:r>
              <w:rPr>
                <w:rFonts w:ascii="仿宋_GB2312" w:hAnsi="仿宋_GB2312" w:eastAsia="仿宋_GB2312" w:cs="仿宋_GB2312"/>
                <w:color w:val="000000" w:themeColor="text1"/>
                <w14:textFill>
                  <w14:solidFill>
                    <w14:schemeClr w14:val="tx1"/>
                  </w14:solidFill>
                </w14:textFill>
              </w:rPr>
              <w:t>； (2)接收质疑函的联系部门：办公室； (3)接收质疑函的联系电话：15205088877；(4)接收质疑函的通讯地址：福建省罗源县水岸菁华11#202室。4）、解释权：</w:t>
            </w:r>
            <w:r>
              <w:rPr>
                <w:rFonts w:hint="eastAsia" w:ascii="仿宋_GB2312" w:hAnsi="仿宋_GB2312" w:eastAsia="仿宋_GB2312" w:cs="仿宋_GB2312"/>
                <w:color w:val="FF0000"/>
              </w:rPr>
              <w:t>本招标文件的解释、澄清或修改，采购人、采购代理机构将按照政府采购相关法律法规规定，以澄清或更正公告形式统一发布。招标文件条款如与现行法律法规冲突，以法律法规为准</w:t>
            </w:r>
            <w:r>
              <w:rPr>
                <w:rFonts w:ascii="仿宋_GB2312" w:hAnsi="仿宋_GB2312" w:eastAsia="仿宋_GB2312" w:cs="仿宋_GB2312"/>
                <w:color w:val="000000" w:themeColor="text1"/>
                <w14:textFill>
                  <w14:solidFill>
                    <w14:schemeClr w14:val="tx1"/>
                  </w14:solidFill>
                </w14:textFill>
              </w:rPr>
              <w:t>。4）、无效投标条款汇总：招标文件各章节中已列明的无效投标条款。</w:t>
            </w:r>
          </w:p>
        </w:tc>
      </w:tr>
      <w:tr w14:paraId="4B551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03" w:type="dxa"/>
            <w:gridSpan w:val="2"/>
          </w:tcPr>
          <w:p w14:paraId="2BAB73D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备注</w:t>
            </w:r>
          </w:p>
        </w:tc>
        <w:tc>
          <w:tcPr>
            <w:tcW w:w="6404" w:type="dxa"/>
          </w:tcPr>
          <w:p w14:paraId="1D5E14F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后有投标人须知前附表2，请勿遗漏。</w:t>
            </w:r>
          </w:p>
        </w:tc>
      </w:tr>
    </w:tbl>
    <w:p w14:paraId="6E646273">
      <w:pPr>
        <w:pStyle w:val="6"/>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二、投标人须知前附表2</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7672"/>
      </w:tblGrid>
      <w:tr w14:paraId="4401F2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0573958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关于电子招标投标活动的专门规定</w:t>
            </w:r>
          </w:p>
        </w:tc>
      </w:tr>
      <w:tr w14:paraId="2A2EA5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tcPr>
          <w:p w14:paraId="7DB8BAA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序号</w:t>
            </w:r>
          </w:p>
        </w:tc>
        <w:tc>
          <w:tcPr>
            <w:tcW w:w="7672" w:type="dxa"/>
          </w:tcPr>
          <w:p w14:paraId="2AD317B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编列内容</w:t>
            </w:r>
          </w:p>
        </w:tc>
      </w:tr>
      <w:tr w14:paraId="357AF8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tcPr>
          <w:p w14:paraId="36EA165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w:t>
            </w:r>
          </w:p>
        </w:tc>
        <w:tc>
          <w:tcPr>
            <w:tcW w:w="7672" w:type="dxa"/>
          </w:tcPr>
          <w:p w14:paraId="424C002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（1）电子招标投标活动的专门规定适用本项目电子招标投标活动。</w:t>
            </w:r>
          </w:p>
          <w:p w14:paraId="18A980A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（2）将招标文件</w:t>
            </w:r>
          </w:p>
          <w:p w14:paraId="47BCBED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无 的内容修正为下列内容：</w:t>
            </w:r>
          </w:p>
          <w:p w14:paraId="765E7CA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无 后适用本项目的电子招标投标活动。</w:t>
            </w:r>
          </w:p>
          <w:p w14:paraId="4E671F1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（3）将下列内容增列为招标文件的组成部分（以下简称：“增列内容”）适用本项目的电子招标投标活动，若增列内容与招标文件其他章节内容有冲突，应以增列内容为准：</w:t>
            </w:r>
          </w:p>
          <w:p w14:paraId="1037B16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①电子招标投标活动的具体操作流程以福建省政府采购网上公开信息系统设定的为准。</w:t>
            </w:r>
          </w:p>
          <w:p w14:paraId="49841B0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②关于电子投标文件：</w:t>
            </w:r>
          </w:p>
          <w:p w14:paraId="048CBBB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a.投标人应按照福建省政府采购网上公开信息系统设定的评审节点编制电子投标文件，否则资格审查小组、评标委员会将按照不利于投标人的内容进行认定。</w:t>
            </w:r>
          </w:p>
          <w:p w14:paraId="3DBD68E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2007640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③关于证明材料或资料：</w:t>
            </w:r>
          </w:p>
          <w:p w14:paraId="107DDCB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728997A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b.若投标人提供注明“复印件无效”或“复印无效”的证明材料或资料，应结合上文a条款进行判定，若招标文件未要求投标人提供原件，投标人提供原件，复印件（含扫描件）均视为满足招标文件要求。</w:t>
            </w:r>
          </w:p>
          <w:p w14:paraId="5D3D00D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④关于“全称”、“投标人代表签字”及“加盖单位公章”：</w:t>
            </w:r>
          </w:p>
          <w:p w14:paraId="4153872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a.在电子投标文件中，涉及“全称”和“投标人代表签字”的内容可使用打字录入方式完成。</w:t>
            </w:r>
          </w:p>
          <w:p w14:paraId="523CA69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b.在电子投标文件中，涉及“加盖单位公章”的内容应使用投标人的CA证书完成，否则投标无效。</w:t>
            </w:r>
          </w:p>
          <w:p w14:paraId="407A1E6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c.在电子投标文件中，若投标人按照本增列内容第④点第b项规定加盖其单位公章，则出现无全称、或投标人代表未签字等情形，不视为投标无效。</w:t>
            </w:r>
          </w:p>
          <w:p w14:paraId="1B2EDB1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⑤关于投标人的CA证书：</w:t>
            </w:r>
          </w:p>
          <w:p w14:paraId="2EA5821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a.投标人的CA证书应在系统规定时间内使用CA证书进行电子投标文件的解密操作，逾期未解密的视为放弃投标。</w:t>
            </w:r>
          </w:p>
          <w:p w14:paraId="6772400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b.投标人的CA证书可采用信封（包括但不限于：信封、档案袋、文件袋等）作为外包装进行单独包装。外包装密封、不密封皆可。</w:t>
            </w:r>
          </w:p>
          <w:p w14:paraId="78B4A4B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c.投标人的CA证书或外包装应标记“项目名称、项目编号、投标人的全称”等内容，以方便识别、使用。</w:t>
            </w:r>
          </w:p>
          <w:p w14:paraId="290382E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d.投标人的CA证书应能正常、有效使用，否则产生不利后果由投标人承担责任。</w:t>
            </w:r>
          </w:p>
          <w:p w14:paraId="69ACE76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⑥关于投标截止时间过后</w:t>
            </w:r>
          </w:p>
          <w:p w14:paraId="741D416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a.未按招标文件规定提交投标保证金的，其投标将按无效投标处理。</w:t>
            </w:r>
          </w:p>
          <w:p w14:paraId="42F8F53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b.有下列情形之一的，其投标无效,其保证金不予退还或通过投标保函进行索赔：</w:t>
            </w:r>
          </w:p>
          <w:p w14:paraId="7D201BC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b1不同投标人的电子投标文件具有相同内部识别码；</w:t>
            </w:r>
          </w:p>
          <w:p w14:paraId="065648E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b2不同投标人的投标保证金从同一单位或个人的账户转出；</w:t>
            </w:r>
          </w:p>
          <w:p w14:paraId="7618B37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b3投标人的投标保证金同一采购包下有其他投标人提交的投标保证金；</w:t>
            </w:r>
          </w:p>
          <w:p w14:paraId="0373A68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b4不同投标人存在串通投标的其他情形。</w:t>
            </w:r>
          </w:p>
          <w:p w14:paraId="1818D4A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⑦接受联合体投标且投标人为联合体的，投标人应由“联合体牵头方”完成福建省政府采购网上公开信息系统设定的具体操作流程（包括但不限于：招标文件获取、提交投标保证金、编制电子投标文件等）。</w:t>
            </w:r>
          </w:p>
          <w:p w14:paraId="16C2538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⑧其他：</w:t>
            </w:r>
          </w:p>
          <w:p w14:paraId="23BA915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a.招标文件关于投标人串通投标情形条款详见《关于福建省财政厅关于电子化政府采购项目中视为串标情形认定与处理的指导意见》闽财购〔2018〕30 号文件规定。 b.关于远程开标规定 ：b1、本项目支持远程开标，投标人可通过远程线上参与开标，具体系统操作指南详见福建省政府采购网首页上相关操作手册。 b2、本项目开标过程中解密的操作时限为30分钟，远程签章的操作时限为5分钟。请投标人务必密切关注实时开标流程，完成远程解密、远程签章。 b3、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 b4、在开标过程中，因系统故障等导致无法继续进行开标的，投标人须配合等待故障处理，待故障解除后继续开标。</w:t>
            </w:r>
          </w:p>
        </w:tc>
      </w:tr>
    </w:tbl>
    <w:p w14:paraId="6F975581">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13B1700F">
      <w:pPr>
        <w:pStyle w:val="6"/>
        <w:jc w:val="center"/>
        <w:outlineLvl w:val="1"/>
        <w:rPr>
          <w:color w:val="000000" w:themeColor="text1"/>
          <w14:textFill>
            <w14:solidFill>
              <w14:schemeClr w14:val="tx1"/>
            </w14:solidFill>
          </w14:textFill>
        </w:rPr>
      </w:pPr>
      <w:r>
        <w:rPr>
          <w:rFonts w:ascii="仿宋_GB2312" w:hAnsi="仿宋_GB2312" w:eastAsia="仿宋_GB2312" w:cs="仿宋_GB2312"/>
          <w:b/>
          <w:color w:val="000000" w:themeColor="text1"/>
          <w:sz w:val="36"/>
          <w14:textFill>
            <w14:solidFill>
              <w14:schemeClr w14:val="tx1"/>
            </w14:solidFill>
          </w14:textFill>
        </w:rPr>
        <w:t>第三章 投标人须知</w:t>
      </w:r>
    </w:p>
    <w:p w14:paraId="6B7ED861">
      <w:pPr>
        <w:pStyle w:val="6"/>
        <w:ind w:firstLine="480"/>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一、总则</w:t>
      </w:r>
    </w:p>
    <w:p w14:paraId="4DA2FC6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1、适用范围</w:t>
      </w:r>
    </w:p>
    <w:p w14:paraId="1C4B03E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1.1适用于招标文件载明项目的政府采购活动（以下简称：“本次采购活动”）。</w:t>
      </w:r>
    </w:p>
    <w:p w14:paraId="48062F3A">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2、定义</w:t>
      </w:r>
    </w:p>
    <w:p w14:paraId="625DF20A">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2.1“采购标的”指招标文件载明的需要采购的货物或服务。</w:t>
      </w:r>
    </w:p>
    <w:p w14:paraId="6FB83D1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2.2“潜在投标人”指按照招标文件第一章第7条规定获取招标文件且有意向参加本项目投标的供应商。</w:t>
      </w:r>
    </w:p>
    <w:p w14:paraId="45DE56DA">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2.3“投标人”指按照招标文件第一章第7条规定获取招标文件并参加本项目投标的供应商。</w:t>
      </w:r>
    </w:p>
    <w:p w14:paraId="5B12F1A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2.4“单位负责人”指单位法定代表人或法律、法规规定代表单位行使职权的主要负责人。</w:t>
      </w:r>
    </w:p>
    <w:p w14:paraId="3B7EE32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2.5“投标人代表”指投标人的单位负责人或“单位负责人授权书”中载明的接受授权方。</w:t>
      </w:r>
    </w:p>
    <w:p w14:paraId="58A0BCDD">
      <w:pPr>
        <w:pStyle w:val="6"/>
        <w:ind w:firstLine="480"/>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二、投标人</w:t>
      </w:r>
    </w:p>
    <w:p w14:paraId="2A5360F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3、合格投标人</w:t>
      </w:r>
    </w:p>
    <w:p w14:paraId="39DAD0E0">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3.1一般规定</w:t>
      </w:r>
    </w:p>
    <w:p w14:paraId="25D1E0A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42012AB3">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4FDCD7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（2）投标人的资格要求：详见招标文件第一章。</w:t>
      </w:r>
    </w:p>
    <w:p w14:paraId="3D3BB7E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3.2若本项目接受联合体投标且投标人为联合体，则联合体各方应遵守本章第3.1条规定，同时还应遵守下列规定：</w:t>
      </w:r>
    </w:p>
    <w:p w14:paraId="1C921DB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（1）联合体各方应提交联合体协议，联合体协议应符合招标文件规定。</w:t>
      </w:r>
    </w:p>
    <w:p w14:paraId="1AAC460A">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（2）联合体各方不得再单独参加或与其他供应商另外组成联合体参加同一合同项下的投标。</w:t>
      </w:r>
    </w:p>
    <w:p w14:paraId="2C319B9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（3）联合体各方应共同与采购人签订政府采购合同，就政府采购合同约定的事项对采购人承担连带责任。</w:t>
      </w:r>
    </w:p>
    <w:p w14:paraId="10DB685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626CEF5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（5）联合体一方放弃中标的，视为联合体整体放弃中标，联合体各方承担连带责任。</w:t>
      </w:r>
    </w:p>
    <w:p w14:paraId="3C15950A">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（6）如本项目不接受联合体投标而投标人为联合体的，或者本项目接受联合体投标但投标人组成的联合体不符合本章第3.2条规定的，投标无效。</w:t>
      </w:r>
    </w:p>
    <w:p w14:paraId="2CA0AA2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4、投标费用</w:t>
      </w:r>
    </w:p>
    <w:p w14:paraId="5AAFA560">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4.1除招标文件另有规定外，投标人应自行承担其参加本项目投标所涉及的一切费用。</w:t>
      </w:r>
    </w:p>
    <w:p w14:paraId="03472451">
      <w:pPr>
        <w:pStyle w:val="6"/>
        <w:ind w:firstLine="480"/>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三、招标</w:t>
      </w:r>
    </w:p>
    <w:p w14:paraId="239A494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5、招标文件</w:t>
      </w:r>
    </w:p>
    <w:p w14:paraId="2190D84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5.1招标文件由下述部分组成：</w:t>
      </w:r>
    </w:p>
    <w:p w14:paraId="2B46155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（1）投标邀请</w:t>
      </w:r>
    </w:p>
    <w:p w14:paraId="6B7265C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（2）投标人须知前附表（表1、2）</w:t>
      </w:r>
    </w:p>
    <w:p w14:paraId="7E817A3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（3）投标人须知</w:t>
      </w:r>
    </w:p>
    <w:p w14:paraId="5861674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（4）资格审查与评标</w:t>
      </w:r>
    </w:p>
    <w:p w14:paraId="4A74307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（5）招标内容及要求</w:t>
      </w:r>
    </w:p>
    <w:p w14:paraId="495658D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（6）政府采购合同（参考文本）</w:t>
      </w:r>
    </w:p>
    <w:p w14:paraId="4005916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（7）电子投标文件格式</w:t>
      </w:r>
    </w:p>
    <w:p w14:paraId="44C34A7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（8）按照招标文件规定作为招标文件组成部分的其他内容（若有）</w:t>
      </w:r>
    </w:p>
    <w:p w14:paraId="426EAF5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5.2招标文件的澄清或修改</w:t>
      </w:r>
    </w:p>
    <w:p w14:paraId="53A0E9D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 天哲项目管理有限公司 可对已发出的招标文件进行必要的澄清或修改，但不得对招标文件载明的采购标的和投标人的资格要求进行改变。</w:t>
      </w:r>
    </w:p>
    <w:p w14:paraId="25B62ED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（2）除本章第5.2条第（3）款规定情形外，澄清或修改的内容可能影响电子投标文件编制的， 天哲项目管理有限公司 将在投标截止时间至少15个日历日前，在招标文件载明的指定媒体以更正公告的形式发布澄清或修改的内容。不足15个日历日的， 天哲项目管理有限公司 将顺延投标截止时间及开标时间， 天哲项目管理有限公司 和投标人受原投标截止时间及开标时间制约的所有权利和义务均延长至新的投标截止时间及开标时间。</w:t>
      </w:r>
    </w:p>
    <w:p w14:paraId="4C142F8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（3）澄清或修改的内容可能改变招标文件载明的采购标的和投标人的资格要求的，本次采购活动结束， 天哲项目管理有限公司 将依法组织后续采购活动（包括但不限于：重新招标、采用其他方式采购等）。</w:t>
      </w:r>
    </w:p>
    <w:p w14:paraId="27E85B8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6、现场考察或开标前答疑会</w:t>
      </w:r>
    </w:p>
    <w:p w14:paraId="360D7EB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6.1是否组织现场考察或召开开标前答疑会：详见招标文件第二章。</w:t>
      </w:r>
    </w:p>
    <w:p w14:paraId="515866C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7、更正公告</w:t>
      </w:r>
    </w:p>
    <w:p w14:paraId="7D4F42A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7.1若 天哲项目管理有限公司 发布更正公告，则更正公告及其所发布的内容或信息（包括但不限于：招标文件的澄清或修改、现场考察或答疑会的有关事宜等）作为招标文件组成部分，对投标人具有约束力。</w:t>
      </w:r>
    </w:p>
    <w:p w14:paraId="6DCF608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7.2更正公告作为 天哲项目管理有限公司 通知所有潜在投标人的书面形式。</w:t>
      </w:r>
    </w:p>
    <w:p w14:paraId="57DAC40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8、终止公告</w:t>
      </w:r>
    </w:p>
    <w:p w14:paraId="796774D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8.1若出现因重大变故导致采购任务取消情形， 天哲项目管理有限公司 可终止招标并发布终止公告。</w:t>
      </w:r>
    </w:p>
    <w:p w14:paraId="62D612E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8.2终止公告作为 天哲项目管理有限公司 通知所有潜在投标人的书面形式。</w:t>
      </w:r>
    </w:p>
    <w:p w14:paraId="2CA3C91F">
      <w:pPr>
        <w:pStyle w:val="6"/>
        <w:ind w:firstLine="480"/>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四、投标</w:t>
      </w:r>
    </w:p>
    <w:p w14:paraId="74CDD90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9、投标</w:t>
      </w:r>
    </w:p>
    <w:p w14:paraId="40CC69E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9.1投标人可对招标文件载明的全部或部分采购包进行投标。</w:t>
      </w:r>
    </w:p>
    <w:p w14:paraId="7283B37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9.2投标人应对同一个采购包内的所有内容进行完整投标，否则投标无效。</w:t>
      </w:r>
    </w:p>
    <w:p w14:paraId="002ED8C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9.3投标人代表只能接受一个投标人的授权参加投标，否则投标无效。</w:t>
      </w:r>
    </w:p>
    <w:p w14:paraId="718320F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9.4单位负责人为同一人或存在直接控股、管理关系的不同供应商，不得同时参加同一合同项下的投标，否则投标无效。</w:t>
      </w:r>
    </w:p>
    <w:p w14:paraId="2C5C123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9.5为本项目提供整体设计、规范编制或项目管理、监理、检测等服务的供应商，不得参加本项目除整体设计、规范编制和项目管理、监理、检测等服务外的采购活动，否则投标无效。</w:t>
      </w:r>
    </w:p>
    <w:p w14:paraId="00996F7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9.6列入失信被执行人、重大税收违法案件当事人名单、政府采购严重违法失信行为记录名单及其他不符合政府采购法第二十二条规定条件的供应商，不得参加投标，否则投标无效。</w:t>
      </w:r>
    </w:p>
    <w:p w14:paraId="1CF8529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9.7有下列情形之一的，视为投标人串通投标，其投标无效：</w:t>
      </w:r>
    </w:p>
    <w:p w14:paraId="0E760A3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（1）不同投标人的电子投标文件由同一单位或个人编制；</w:t>
      </w:r>
    </w:p>
    <w:p w14:paraId="04CF32A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（2）不同投标人委托同一单位或个人办理投标事宜；</w:t>
      </w:r>
    </w:p>
    <w:p w14:paraId="7CB4A77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（3）不同投标人的电子投标文件载明的项目管理成员或联系人员为同一人；</w:t>
      </w:r>
    </w:p>
    <w:p w14:paraId="259EB14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（4）不同投标人的电子投标文件异常一致或投标报价呈规律性差异；</w:t>
      </w:r>
    </w:p>
    <w:p w14:paraId="103065A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（5）不同投标人的电子投标文件相互混装；</w:t>
      </w:r>
    </w:p>
    <w:p w14:paraId="554EBE4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（6）不同投标人的投标保证金从同一单位或个人的账户转出；</w:t>
      </w:r>
    </w:p>
    <w:p w14:paraId="2744B96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（7）有关法律、法规和规章及招标文件规定的其他串通投标情形。</w:t>
      </w:r>
    </w:p>
    <w:p w14:paraId="008554F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10、电子投标文件</w:t>
      </w:r>
    </w:p>
    <w:p w14:paraId="063FDBD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10.1电子投标文件的编制</w:t>
      </w:r>
    </w:p>
    <w:p w14:paraId="7A17C0B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（1）投标人应先仔细阅读招标文件的全部内容后，再进行电子投标文件的编制。</w:t>
      </w:r>
    </w:p>
    <w:p w14:paraId="4798851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（2）电子投标文件应按照本章第10.2条规定编制其组成部分。</w:t>
      </w:r>
    </w:p>
    <w:p w14:paraId="314A254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（3）电子投标文件应满足招标文件提出的实质性要求和条件，并保证其所提交的全部资料是不可割离且真实、有效、准确、完整和不具有任何误导性的，否则造成不利后果由投标人承担责任。</w:t>
      </w:r>
    </w:p>
    <w:p w14:paraId="6DE8582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10.2电子投标文件由下述部分组成：</w:t>
      </w:r>
    </w:p>
    <w:p w14:paraId="0F83DCF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（1）资格及资信证明部分</w:t>
      </w:r>
    </w:p>
    <w:p w14:paraId="31A190D0">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①投标函</w:t>
      </w:r>
    </w:p>
    <w:p w14:paraId="1D1A46A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②投标人的资格及资信证明文件</w:t>
      </w:r>
    </w:p>
    <w:p w14:paraId="6163A46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③投标保证金</w:t>
      </w:r>
    </w:p>
    <w:p w14:paraId="6003444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（2）报价部分</w:t>
      </w:r>
    </w:p>
    <w:p w14:paraId="4A841E9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①开标（报价）一览表</w:t>
      </w:r>
    </w:p>
    <w:p w14:paraId="7955E0C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②投标（响应）报价明细表</w:t>
      </w:r>
    </w:p>
    <w:p w14:paraId="472CFFD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③招标文件规定的价格扣除证明材料（若有）</w:t>
      </w:r>
    </w:p>
    <w:p w14:paraId="58E25FE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④招标文件规定的加分证明材料（若有）</w:t>
      </w:r>
    </w:p>
    <w:p w14:paraId="43AFDD1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（3）技术商务部分</w:t>
      </w:r>
    </w:p>
    <w:p w14:paraId="3516170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①标的说明一览表</w:t>
      </w:r>
    </w:p>
    <w:p w14:paraId="7226B8A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②技术和服务要求响应表</w:t>
      </w:r>
    </w:p>
    <w:p w14:paraId="27431E3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③商务条件响应表</w:t>
      </w:r>
    </w:p>
    <w:p w14:paraId="2E44ED9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④投标人提交的其他资料（若有）</w:t>
      </w:r>
    </w:p>
    <w:p w14:paraId="575BEBD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⑤招标文件规定作为电子投标文件组成部分的其他内容（若有）</w:t>
      </w:r>
    </w:p>
    <w:p w14:paraId="0039EB8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10.3电子投标文件的语言</w:t>
      </w:r>
    </w:p>
    <w:p w14:paraId="2E9F16D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（1）除招标文件另有规定外，电子投标文件应使用中文文本，若有不同文本，以中文文本为准。</w:t>
      </w:r>
    </w:p>
    <w:p w14:paraId="3A0222A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0BEB05A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10.4投标文件的份数：详见招标文件第二章。</w:t>
      </w:r>
    </w:p>
    <w:p w14:paraId="1D4E3C5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10.5电子投标文件的格式</w:t>
      </w:r>
    </w:p>
    <w:p w14:paraId="7893E4AA">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（1）除招标文件另有规定外，电子投标文件应使用招标文件第七章规定的格式。</w:t>
      </w:r>
    </w:p>
    <w:p w14:paraId="2575B8A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（2）除招标文件另有规定外，电子投标文件应使用不能擦去的墨料或墨水打印、书写或复印。</w:t>
      </w:r>
    </w:p>
    <w:p w14:paraId="7B3CBD0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（3）除招标文件另有规定外，电子投标文件应使用人民币作为计量货币。</w:t>
      </w:r>
    </w:p>
    <w:p w14:paraId="3F8D088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（4）除招标文件另有规定外，签署、盖章应遵守下列规定：</w:t>
      </w:r>
    </w:p>
    <w:p w14:paraId="3415FEA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①电子投标文件应加盖投标人的单位公章。若投标人代表为单位授权的委托代理人，应提供“单位授权书”。</w:t>
      </w:r>
    </w:p>
    <w:p w14:paraId="66BEB18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②电子投标文件应没有涂改或行间插字，除非这些改动是根据 天哲项目管理有限公司 的指示进行的，或是为改正投标人造成的应修改的错误而进行的。若有前述改动，应按照下列规定之一对改动处进行处理：</w:t>
      </w:r>
    </w:p>
    <w:p w14:paraId="27DC7BF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a.投标人代表签字确认；</w:t>
      </w:r>
    </w:p>
    <w:p w14:paraId="03EB290A">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b.加盖投标人的单位公章或校正章。</w:t>
      </w:r>
    </w:p>
    <w:p w14:paraId="3841F84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10.6投标报价</w:t>
      </w:r>
    </w:p>
    <w:p w14:paraId="16ECFB8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（1）投标报价超出最高限价将导致投标无效。</w:t>
      </w:r>
    </w:p>
    <w:p w14:paraId="244524C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（2）最高限价由采购人根据价格测算情况，在预算金额的额度内合理设定。最高限价不得超出预算金额。</w:t>
      </w:r>
    </w:p>
    <w:p w14:paraId="31EB91E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（3）除招标文件另有规定外，电子投标文件不能出现任何选择性的投标报价，即每一个采购包和品目号的采购标的都只能有一个投标报价。任何选择性的投标报价将导致投标无效。</w:t>
      </w:r>
    </w:p>
    <w:p w14:paraId="1CE6896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10.7分包</w:t>
      </w:r>
    </w:p>
    <w:p w14:paraId="226F9E7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（1）是否允许中标人将本项目的非主体、非关键性工作进行分包：详见招标文件第二章。</w:t>
      </w:r>
    </w:p>
    <w:p w14:paraId="5FF56E4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21B7B1B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（3）招标文件允许中标人将非主体、非关键性工作进行分包的项目，有下列情形之一的，中标人不得分包：</w:t>
      </w:r>
    </w:p>
    <w:p w14:paraId="2C1F991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①电子投标文件中未载明分包承担主体；</w:t>
      </w:r>
    </w:p>
    <w:p w14:paraId="7D4E3F6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②电子投标文件载明的分包承担主体不具备相应资质条件；</w:t>
      </w:r>
    </w:p>
    <w:p w14:paraId="3F7780A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③电子投标文件载明的分包承担主体拟再次分包；</w:t>
      </w:r>
    </w:p>
    <w:p w14:paraId="1428461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④享受中小企业扶持政策获得政府采购合同的，小微企业不得将合同分包给大中型企业，中型企业不得将合同分包给大型企业。</w:t>
      </w:r>
    </w:p>
    <w:p w14:paraId="512A847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10.8投标有效期</w:t>
      </w:r>
    </w:p>
    <w:p w14:paraId="1FA4885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（1）招标文件载明的投标有效期：详见招标文件第二章。</w:t>
      </w:r>
    </w:p>
    <w:p w14:paraId="1E85913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（2）电子投标文件承诺的投标有效期不得少于招标文件载明的投标有效期，否则投标无效。</w:t>
      </w:r>
    </w:p>
    <w:p w14:paraId="219148D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（3）根据本次采购活动的需要， 天哲项目管理有限公司 可于投标有效期届满之前书面要求投标人延长投标有效期，投标人应在 天哲项目管理有限公司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298D1C5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10.9投标保证金</w:t>
      </w:r>
    </w:p>
    <w:p w14:paraId="0FEF1A30">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（1）投标保证金作为投标人按照招标文件规定履行相应投标责任、义务的约束及担保。</w:t>
      </w:r>
    </w:p>
    <w:p w14:paraId="29D8127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（2）投标人以电子保函形式提交投标保证金的，保函的有效期应等于或长于电子投标文件承诺的投标有效期，否则投标无效。</w:t>
      </w:r>
    </w:p>
    <w:p w14:paraId="45AEF6D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（3）提交</w:t>
      </w:r>
    </w:p>
    <w:p w14:paraId="6516360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①投标人以汇款形式缴纳投标保证金的，应从其银行账户（基本存款账户）按照下列方式：公对公转账方式向招标文件载明的投标保证金账户提交投标保证金，具体金额详见招标文件第一章。</w:t>
      </w:r>
    </w:p>
    <w:p w14:paraId="141C8EF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0C0A143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③其他形式：</w:t>
      </w:r>
    </w:p>
    <w:p w14:paraId="6C1615E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p w14:paraId="79D3F80A">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④若本项目接受联合体投标且投标人为联合体，则联合体中的牵头方应按照本章第10.9条第（3）款第①、②、③点规定提交投标保证金。</w:t>
      </w:r>
    </w:p>
    <w:p w14:paraId="1F36F15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※除招标文件另有规定外，未按照上述规定提交投标保证金将导致资格审查不合格。</w:t>
      </w:r>
    </w:p>
    <w:p w14:paraId="487F425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（4）退还</w:t>
      </w:r>
    </w:p>
    <w:p w14:paraId="4586661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①在投标截止时间前撤回已提交的电子投标文件的投标人，其投标保证金将在 天哲项目管理有限公司 收到投标人书面撤回通知之日起5个工作日内退回原账户。</w:t>
      </w:r>
    </w:p>
    <w:p w14:paraId="04FFEA5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②未中标人的投标保证金将在中标通知书发出之日起5个工作日内退回原账户。</w:t>
      </w:r>
    </w:p>
    <w:p w14:paraId="0872AF4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③中标人的投标保证金将在政府采购合同签订之日起5个工作日内退回原账户；合同签订之日以福建省政府采购网上公开信息系统记载的为准。</w:t>
      </w:r>
    </w:p>
    <w:p w14:paraId="7C042AD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④终止招标的， 天哲项目管理有限公司 将在终止公告发布之日起5个工作日内退回已收取的投标保证金及其在银行产生的孳息。</w:t>
      </w:r>
    </w:p>
    <w:p w14:paraId="67AD918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⑤除招标文件另有规定外，质疑或投诉涉及的投标人，若投标保证金尚未退还，则待质疑或投诉处理完毕后不计利息原额退还。</w:t>
      </w:r>
    </w:p>
    <w:p w14:paraId="74887A7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※本章第10.9条第（4）款第①、②、③点规定的投标保证金退还时限不包括因投标人自身原因导致无法及时退还而增加的时间。</w:t>
      </w:r>
    </w:p>
    <w:p w14:paraId="74214B6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2ABB4AD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（6）有下列情形之一的，投标保证金将不予退还或通过投标保函进行索赔：</w:t>
      </w:r>
    </w:p>
    <w:p w14:paraId="36D545E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①投标人串通投标；</w:t>
      </w:r>
    </w:p>
    <w:p w14:paraId="34BD14F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②投标人提供虚假材料；</w:t>
      </w:r>
    </w:p>
    <w:p w14:paraId="0885BA7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③投标人采取不正当手段诋毁、排挤其他投标人；</w:t>
      </w:r>
    </w:p>
    <w:p w14:paraId="350FD4E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④投标截止时间后，投标人在投标有效期内撤销电子投标文件；</w:t>
      </w:r>
    </w:p>
    <w:p w14:paraId="310C027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⑤招标文件规定的其他不予退还情形；</w:t>
      </w:r>
    </w:p>
    <w:p w14:paraId="696806B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⑥中标人有下列情形之一的：</w:t>
      </w:r>
    </w:p>
    <w:p w14:paraId="4A9CD85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a.除不可抗力外，因中标人自身原因未在中标通知书要求的期限内与采购人签订政府采购合同；</w:t>
      </w:r>
    </w:p>
    <w:p w14:paraId="410B46C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b.未按照招标文件、投标文件的约定签订政府采购合同或提交履约保证金。</w:t>
      </w:r>
    </w:p>
    <w:p w14:paraId="0582697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※若上述投标保证金不予退还情形给采购人（采购代理机构）造成损失，则投标人还要承担相应的赔偿责任。</w:t>
      </w:r>
    </w:p>
    <w:p w14:paraId="296F35B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10.10电子投标文件的提交</w:t>
      </w:r>
    </w:p>
    <w:p w14:paraId="3B75A0E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（1）一个投标人只能提交一个电子投标文件，并按照招标文件第一章规定在系统上完成上传、解密操作。</w:t>
      </w:r>
    </w:p>
    <w:p w14:paraId="63353A6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10.11电子投标文件的补充、修改或撤回</w:t>
      </w:r>
    </w:p>
    <w:p w14:paraId="76E8D38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（1）投标截止时间前，投标人可对所提交的电子投标文件进行补充、修改或撤回，并书面通知 天哲项目管理有限公司 。</w:t>
      </w:r>
    </w:p>
    <w:p w14:paraId="5D51DEB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（2）补充、修改的内容应按照本章第10.5条第（4）款规定进行签署、盖章，并按照本章第10.10条规定提交，否则将被拒收。</w:t>
      </w:r>
    </w:p>
    <w:p w14:paraId="1657966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※按照上述规定提交的补充、修改内容作为电子投标文件组成部分。</w:t>
      </w:r>
    </w:p>
    <w:p w14:paraId="4B39C2D0">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10.12除招标文件另有规定外，有下列情形之一的，投标无效：</w:t>
      </w:r>
    </w:p>
    <w:p w14:paraId="464DD0C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（1）电子投标文件未按照招标文件要求签署、盖章；</w:t>
      </w:r>
    </w:p>
    <w:p w14:paraId="75DFD0A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（2）不符合招标文件中规定的资格要求；</w:t>
      </w:r>
    </w:p>
    <w:p w14:paraId="308C784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（3）投标报价超过招标文件中规定的预算金额或最高限价；</w:t>
      </w:r>
    </w:p>
    <w:p w14:paraId="4704C1A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（4）电子投标文件含有采购人不能接受的附加条件；</w:t>
      </w:r>
    </w:p>
    <w:p w14:paraId="6244127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（5）有关法律、法规和规章及招标文件规定的其他无效情形。</w:t>
      </w:r>
    </w:p>
    <w:p w14:paraId="1A4FF931">
      <w:pPr>
        <w:pStyle w:val="6"/>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五、开标</w:t>
      </w:r>
    </w:p>
    <w:p w14:paraId="555DB28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11、开标</w:t>
      </w:r>
    </w:p>
    <w:p w14:paraId="445294B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11.1 天哲项目管理有限公司 将在招标文件载明的开标时间及地点主持召开开标会，并邀请投标人参加。</w:t>
      </w:r>
    </w:p>
    <w:p w14:paraId="5CAAB900">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11.2开标会的主持人、唱标人、记录人及其他工作人员（若有）均由 天哲项目管理有限公司 派出，现场监督人员（若有）可由有关方面派出。</w:t>
      </w:r>
    </w:p>
    <w:p w14:paraId="0641402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5EB3E4D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11.4开标会应遵守下列规定：</w:t>
      </w:r>
    </w:p>
    <w:p w14:paraId="36DA5C8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2EC2A3A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38E6F7E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（3）唱标结束后，参加现场开标会的投标人代表应对开标记录进行签字确认，通过远程参与开标流程的投标人须在系统远程签章开启后，在系统规定时间内对开标结果进行签章确认。</w:t>
      </w:r>
    </w:p>
    <w:p w14:paraId="3D74449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6FDCB69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（5）若投标人未到开标现场参加开标会，也未通过远程参加开标会的，视同认可开标结果。</w:t>
      </w:r>
    </w:p>
    <w:p w14:paraId="1AE0BBE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天哲项目管理有限公司 提出任何疑义或要求（包括质疑）。</w:t>
      </w:r>
    </w:p>
    <w:p w14:paraId="7BC93ED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11.5投标截止时间后，参加投标的投标人不足三家的，不进行开标。同时，本次采购活动结束， 天哲项目管理有限公司 将依法组织后续采购活动（包括但不限于：重新招标、采用其他方式采购等）。</w:t>
      </w:r>
    </w:p>
    <w:p w14:paraId="3A33B8D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11.6投标截止时间后撤销投标的处理</w:t>
      </w:r>
    </w:p>
    <w:p w14:paraId="6D129A2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投标截止时间后，投标人在投标有效期内撤销投标的，其撤销投标的行为无效。</w:t>
      </w:r>
    </w:p>
    <w:p w14:paraId="37B1AD15">
      <w:pPr>
        <w:pStyle w:val="6"/>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六、中标与政府采购合同</w:t>
      </w:r>
    </w:p>
    <w:p w14:paraId="6EA2154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12、中标</w:t>
      </w:r>
    </w:p>
    <w:p w14:paraId="09B20E5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12.1本项目推荐的中标候选人家数：详见招标文件第二章。</w:t>
      </w:r>
    </w:p>
    <w:p w14:paraId="438FDCB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12.2本项目中标人的确定：详见招标文件第二章。</w:t>
      </w:r>
    </w:p>
    <w:p w14:paraId="64B3C9D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12.3中标公告</w:t>
      </w:r>
    </w:p>
    <w:p w14:paraId="76A3006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（1）中标人确定之日起2个工作日内， 天哲项目管理有限公司 将在招标文件载明的指定媒体以中标公告的形式发布中标结果。</w:t>
      </w:r>
    </w:p>
    <w:p w14:paraId="09B9310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（2）中标公告的公告期限为1个工作日。</w:t>
      </w:r>
    </w:p>
    <w:p w14:paraId="62EA72D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12.4中标通知书</w:t>
      </w:r>
    </w:p>
    <w:p w14:paraId="777D865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（1）中标公告发布的同时， 天哲项目管理有限公司 将向中标人发出中标通知书。</w:t>
      </w:r>
    </w:p>
    <w:p w14:paraId="78CA6DD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（2）中标通知书发出后，采购人不得违法改变中标结果，中标人无正当理由不得放弃中标。</w:t>
      </w:r>
    </w:p>
    <w:p w14:paraId="0014DC2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13、政府采购合同</w:t>
      </w:r>
    </w:p>
    <w:p w14:paraId="4590512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6280EBD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13.2签订时限：详见须知前附表1的13.2。</w:t>
      </w:r>
    </w:p>
    <w:p w14:paraId="78D5E2C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13.3政府采购合同的履行、违约责任和解决争议的方法等适用民法典。</w:t>
      </w:r>
    </w:p>
    <w:p w14:paraId="2316DD1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13.4采购人与中标人应根据政府采购合同的约定依法履行合同义务。</w:t>
      </w:r>
    </w:p>
    <w:p w14:paraId="6E43FE3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13.5政府采购合同履行过程中，采购人若需追加与合同标的相同的货物或服务，则追加采购金额不得超过原合同采购金额的10%。</w:t>
      </w:r>
    </w:p>
    <w:p w14:paraId="4EDA8F0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13.6中标人在政府采购合同履行过程中应遵守有关法律、法规和规章的强制性规定（即使前述强制性规定有可能在招标文件中未予列明）。</w:t>
      </w:r>
    </w:p>
    <w:p w14:paraId="3CB378CA">
      <w:pPr>
        <w:pStyle w:val="6"/>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七、询问、质疑与投诉</w:t>
      </w:r>
    </w:p>
    <w:p w14:paraId="16237B6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14、询问</w:t>
      </w:r>
    </w:p>
    <w:p w14:paraId="4FA1208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14.1潜在投标人或投标人对本次采购活动的有关事项若有疑问，可向 天哲项目管理有限公司 提出询问， 天哲项目管理有限公司 将按照政府采购法及实施条例的有关规定进行答复。</w:t>
      </w:r>
    </w:p>
    <w:p w14:paraId="74AD7160">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15、质疑</w:t>
      </w:r>
    </w:p>
    <w:p w14:paraId="15F2B44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15.1针对同一采购程序环节的质疑应在政府采购法及实施条例的时限内一次性提出，对一个项目的不同采购包提出质疑的，应当将各采购包质疑事项集中在一份质疑函中提出，并同时符合下列条件：</w:t>
      </w:r>
    </w:p>
    <w:p w14:paraId="1444756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（1）对招标文件提出质疑的，质疑人应为潜在投标人，且两者的身份、名称等均应保持一致。对采购过程、结果提出质疑的，质疑人应为投标人，且两者的身份、名称等均应保持一致。</w:t>
      </w:r>
    </w:p>
    <w:p w14:paraId="340C47C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（2）质疑人应按照招标文件第二章规定方式提交质疑函。</w:t>
      </w:r>
    </w:p>
    <w:p w14:paraId="6DBC745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（3）质疑函应包括下列主要内容：</w:t>
      </w:r>
    </w:p>
    <w:p w14:paraId="09823B4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①质疑人的基本信息，至少包括：全称、地址、邮政编码等；</w:t>
      </w:r>
    </w:p>
    <w:p w14:paraId="1C969BB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②所质疑项目的基本信息，至少包括：项目编号、项目名称等；</w:t>
      </w:r>
    </w:p>
    <w:p w14:paraId="5D4C9B6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③所质疑的具体事项（以下简称：“质疑事项”）；</w:t>
      </w:r>
    </w:p>
    <w:p w14:paraId="105AEA3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④针对质疑事项提出的明确请求，前述明确请求指质疑人提出质疑的目的以及希望 天哲项目管理有限公司 对其质疑作出的处理结果，如：暂停招标投标活动、修改招标文件、停止或纠正违法违规行为、中标结果无效、废标、重新招标等；</w:t>
      </w:r>
    </w:p>
    <w:p w14:paraId="62010000">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⑤针对质疑事项导致质疑人自身权益受到损害的必要证明材料，至少包括：</w:t>
      </w:r>
    </w:p>
    <w:p w14:paraId="4DD3DD5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a.质疑人代表的身份证明材料：</w:t>
      </w:r>
    </w:p>
    <w:p w14:paraId="19F8191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1A8B5A9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a2若本项目接受自然人投标且质疑人为自然人的，提供本人的身份证复印件。</w:t>
      </w:r>
    </w:p>
    <w:p w14:paraId="606914F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b.其他证明材料（即事实依据和必要的法律依据）包括但不限于下列材料：</w:t>
      </w:r>
    </w:p>
    <w:p w14:paraId="0268D1B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b1所质疑的具体事项是与自己有利害关系的证明材料；</w:t>
      </w:r>
    </w:p>
    <w:p w14:paraId="64E3EF4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b2质疑函所述事实存在的证明材料，如：采购文件、采购过程或中标结果违法违规或不符合采购文件要求等证明材料；</w:t>
      </w:r>
    </w:p>
    <w:p w14:paraId="794B04E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b3依法应终止采购程序的证明材料；</w:t>
      </w:r>
    </w:p>
    <w:p w14:paraId="5748D880">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b4应重新采购的证明材料；</w:t>
      </w:r>
    </w:p>
    <w:p w14:paraId="11D10E7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b5采购文件、采购过程或中标、成交结果损害自己合法权益的证明材料等；</w:t>
      </w:r>
    </w:p>
    <w:p w14:paraId="29EB70E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7B6990D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⑥质疑人代表及其联系方法的信息，至少包括：姓名、手机、电子信箱、邮寄地址等。</w:t>
      </w:r>
    </w:p>
    <w:p w14:paraId="051873B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⑦提出质疑的日期。</w:t>
      </w:r>
    </w:p>
    <w:p w14:paraId="7C5EC6D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※质疑人为法人或其他组织的，质疑函应由单位负责人或委托代理人签字或盖章，并加盖投标人的单位公章。质疑人为自然人的，质疑函应由本人签字。</w:t>
      </w:r>
    </w:p>
    <w:p w14:paraId="0781FB6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15.2对不符合本章第15.1条规定的质疑，将按照下列规定进行处理：</w:t>
      </w:r>
    </w:p>
    <w:p w14:paraId="37BC185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（1）不符合其中第（1）、（2）条规定的，书面告知质疑人不予受理及其理由。</w:t>
      </w:r>
    </w:p>
    <w:p w14:paraId="0ACCEEC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（2）不符合其中第（3）条规定的，书面告知质疑人修改、补充后在规定时限内重新提交质疑函。</w:t>
      </w:r>
    </w:p>
    <w:p w14:paraId="5ECA029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15.3对符合本章第15.1条规定的质疑，将按照政府采购法及实施条例、政府采购质疑和投诉办法的有关规定进行答复。</w:t>
      </w:r>
    </w:p>
    <w:p w14:paraId="72C3360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15.4招标文件的质疑：详见招标文件第二章。</w:t>
      </w:r>
    </w:p>
    <w:p w14:paraId="52D4FC6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16、投诉</w:t>
      </w:r>
    </w:p>
    <w:p w14:paraId="5684885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4EDE6AA0">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16.2投诉应有明确的请求和必要的证明材料，投诉的事项不得超出已质疑事项的范围。</w:t>
      </w:r>
    </w:p>
    <w:p w14:paraId="29D578B3">
      <w:pPr>
        <w:pStyle w:val="6"/>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八、政府采购政策</w:t>
      </w:r>
    </w:p>
    <w:p w14:paraId="350EBE6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17、政府采购政策由财政部根据国家的经济和社会发展政策并会同国家有关部委制定，包括但不限于下列具体政策要求：</w:t>
      </w:r>
    </w:p>
    <w:p w14:paraId="37FC1BD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17.1本国产品与非本国产品相关约定</w:t>
      </w:r>
    </w:p>
    <w:p w14:paraId="225AAA3B">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17.1.1本国产品</w:t>
      </w:r>
    </w:p>
    <w:p w14:paraId="2BEAD2A7">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6B07A52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1EFA3E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（3）对本国产品的支持政策 政府采购活动中既有本国产品又有非本国产品参与竞争的，依法对本国产品给予价格评审优惠，对本国产品的报价给予20%的价格扣除，用扣除后的价格参与评审。</w:t>
      </w:r>
    </w:p>
    <w:p w14:paraId="46C71D4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929C21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17.1.2 非本国产品</w:t>
      </w:r>
    </w:p>
    <w:p w14:paraId="71E74EA3">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17.1.2.1 进口产品：指通过中国海关报关验放进入中国境内且产自关境外的产品，其中：</w:t>
      </w:r>
    </w:p>
    <w:p w14:paraId="4E9E6A6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16ACAFF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（2）凡在海关特殊监管区域内企业生产或加工（包括从境外进口料件）销往境内其他地区的产品，不作为政府采购项下进口产品。</w:t>
      </w:r>
    </w:p>
    <w:p w14:paraId="7D7A227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（3）对从境外进入海关特殊监管区域，再经办理报关手续后从海关特殊监管区进入境内其他地区的产品，认定为进口产品。</w:t>
      </w:r>
    </w:p>
    <w:p w14:paraId="3CFC1CAA">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（4）招标文件列明不允许或未列明允许进口产品参加投标的，均视为拒绝进口产品参加投标。</w:t>
      </w:r>
    </w:p>
    <w:p w14:paraId="7235813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17.1.2.2 其它非本国产品：指非进口产品且不符合本国产品标准的产品。</w:t>
      </w:r>
    </w:p>
    <w:p w14:paraId="5339FB5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71975FE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4AC29FC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（1）中小企业指符合下列条件的中型、小型、微型企业：</w:t>
      </w:r>
    </w:p>
    <w:p w14:paraId="2BEC69BA">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22F2903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②符合中小企业划分标准的个体工商户，在政府采购活动中视同中小企业。</w:t>
      </w:r>
    </w:p>
    <w:p w14:paraId="7B7D7FB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（2）在政府采购活动中，供应商提供的货物、工程或者服务符合下列情形的，享受本办法规定的中小企业扶持政策：</w:t>
      </w:r>
    </w:p>
    <w:p w14:paraId="466ECA3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①在货物采购项目中，货物由中小企业制造，即货物由中小企业生产且使用该中小企业商号或者注册商标；</w:t>
      </w:r>
    </w:p>
    <w:p w14:paraId="641C878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②在工程采购项目中，工程由中小企业承建，即工程施工单位为中小企业；</w:t>
      </w:r>
    </w:p>
    <w:p w14:paraId="6E435F3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③在服务采购项目中，服务由中小企业承接，即提供服务的人员为中小企业依照《中华人民共和国劳动合同法》订立劳动合同的从业人员。</w:t>
      </w:r>
    </w:p>
    <w:p w14:paraId="4248194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在货物采购项目中，供应商提供的货物既有中小企业制造货物，也有大型企业制造货物的，不享受本办法规定的中小企业扶持政策。</w:t>
      </w:r>
    </w:p>
    <w:p w14:paraId="2512566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以联合体形式参加政府采购活动，联合体各方均为中小企业的，联合体视同中小企业。其中，联合体各方均为小微企业的，联合体视同小微企业。</w:t>
      </w:r>
    </w:p>
    <w:p w14:paraId="297E7C2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（3）投标人应当按照招标文件明确的采购标的对应行业的划分标准出具中小企业声明函。</w:t>
      </w:r>
    </w:p>
    <w:p w14:paraId="1FFB201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227E2D3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4BECF31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①监狱企业参加采购活动时，应提供由省级以上监狱管理局、戒毒管理局（含新疆生产建设兵团）出具的属于监狱企业的证明文件。</w:t>
      </w:r>
    </w:p>
    <w:p w14:paraId="752C2EA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②监狱企业视同小型、微型企业。</w:t>
      </w:r>
    </w:p>
    <w:p w14:paraId="17BD7F5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（5）残疾人福利性单位指同时符合下列条件的单位：</w:t>
      </w:r>
    </w:p>
    <w:p w14:paraId="1DAACA0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①安置的残疾人占本单位在职职工人数的比例不低于25%（含25%），并且安置的残疾人人数不少于10人（含10人）；</w:t>
      </w:r>
    </w:p>
    <w:p w14:paraId="459B7E4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②依法与安置的每位残疾人签订了一年以上（含一年）的劳动合同或服务协议；</w:t>
      </w:r>
    </w:p>
    <w:p w14:paraId="1CB0C45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③为安置的每位残疾人按月足额缴纳了基本养老保险、基本医疗保险、失业保险、工伤保险和生育保险等社会保险费；</w:t>
      </w:r>
    </w:p>
    <w:p w14:paraId="7B846F8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④通过银行等金融机构向安置的每位残疾人，按月支付了不低于单位所在区县适用的经省级人民政府批准的月最低工资标准的工资；</w:t>
      </w:r>
    </w:p>
    <w:p w14:paraId="3BCC341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⑤提供本单位制造的货物、承担的工程或服务，或提供其他残疾人福利性单位制造的货物（不包括使用非残疾人福利性单位注册商标的货物）。</w:t>
      </w:r>
    </w:p>
    <w:p w14:paraId="1559C32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4BDF6E7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78AC9DE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17.4信用记录指由财政部确定的有关网站提供的相关主体信用信息。信用记录的查询及使用应符合财政部文件（财库[2016]125号）规定。</w:t>
      </w:r>
    </w:p>
    <w:p w14:paraId="30C2A80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17.5为落实政府采购政策需满足的要求：详见招标文件第一章。</w:t>
      </w:r>
    </w:p>
    <w:p w14:paraId="0C6E556C">
      <w:pPr>
        <w:pStyle w:val="6"/>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九、本项目的有关信息</w:t>
      </w:r>
    </w:p>
    <w:p w14:paraId="571D9AA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18、本项目的有关信息，包括但不限于：招标公告、更正公告（若有）、招标文件、招标文件的澄清或修改（若有）、中标公告、终止公告（若有）、废标公告（若有）等都将在招标文件载明的指定媒体发布。</w:t>
      </w:r>
    </w:p>
    <w:p w14:paraId="1E733C8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18.1指定媒体：详见招标文件第二章。</w:t>
      </w:r>
    </w:p>
    <w:p w14:paraId="454368A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18.2本项目的潜在投标人或投标人应随时关注指定媒体，否则产生不利后果由其自行承担。</w:t>
      </w:r>
    </w:p>
    <w:p w14:paraId="1078CC30">
      <w:pPr>
        <w:pStyle w:val="6"/>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十、其他事项</w:t>
      </w:r>
    </w:p>
    <w:p w14:paraId="7A11A84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19、其他事项：</w:t>
      </w:r>
    </w:p>
    <w:p w14:paraId="5F2006F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58BE824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19.2其他：详见招标文件第二章。</w:t>
      </w:r>
    </w:p>
    <w:p w14:paraId="2F8EF38D">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4BADB005">
      <w:pPr>
        <w:pStyle w:val="6"/>
        <w:jc w:val="center"/>
        <w:outlineLvl w:val="1"/>
        <w:rPr>
          <w:color w:val="000000" w:themeColor="text1"/>
          <w14:textFill>
            <w14:solidFill>
              <w14:schemeClr w14:val="tx1"/>
            </w14:solidFill>
          </w14:textFill>
        </w:rPr>
      </w:pPr>
      <w:r>
        <w:rPr>
          <w:rFonts w:ascii="仿宋_GB2312" w:hAnsi="仿宋_GB2312" w:eastAsia="仿宋_GB2312" w:cs="仿宋_GB2312"/>
          <w:b/>
          <w:color w:val="000000" w:themeColor="text1"/>
          <w:sz w:val="36"/>
          <w14:textFill>
            <w14:solidFill>
              <w14:schemeClr w14:val="tx1"/>
            </w14:solidFill>
          </w14:textFill>
        </w:rPr>
        <w:t>第四章 资格审查与评标</w:t>
      </w:r>
    </w:p>
    <w:p w14:paraId="17C1CD72">
      <w:pPr>
        <w:pStyle w:val="6"/>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一、资格审查</w:t>
      </w:r>
    </w:p>
    <w:p w14:paraId="0A81B07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1、开标结束后，由 天哲项目管理有限公司 负责资格审查小组的组建及资格审查工作的组织。</w:t>
      </w:r>
    </w:p>
    <w:p w14:paraId="24F6FD3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1.1资格审查小组</w:t>
      </w:r>
    </w:p>
    <w:p w14:paraId="0744A87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资格审查小组由3人组成，并负责具体审查事务，其中由采购人派出的采购人代表至少1人，由天哲项目管理有限公司派出的工作人员至少1人，其余1人可为采购人代表或天哲项目管理有限公司的工作人员。</w:t>
      </w:r>
    </w:p>
    <w:p w14:paraId="5D0E51B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1.2资格审查的依据是招标文件和电子投标文件。</w:t>
      </w:r>
    </w:p>
    <w:p w14:paraId="303FEFB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1.3资格审查的范围及内容：电子投标文件（资格及资信证明部分），具体如下：</w:t>
      </w:r>
    </w:p>
    <w:p w14:paraId="322AC4F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（1）“投标函”；</w:t>
      </w:r>
    </w:p>
    <w:p w14:paraId="56D522F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（2）“投标人的资格及资信证明文件”</w:t>
      </w:r>
    </w:p>
    <w:p w14:paraId="19F0656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①一般资格证明文件：</w:t>
      </w:r>
    </w:p>
    <w:p w14:paraId="50A9A88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703E69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B7CD1A8">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序号</w:t>
            </w:r>
          </w:p>
        </w:tc>
        <w:tc>
          <w:tcPr>
            <w:tcW w:w="3322" w:type="dxa"/>
          </w:tcPr>
          <w:p w14:paraId="3A212297">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资格审查要求概况</w:t>
            </w:r>
          </w:p>
        </w:tc>
        <w:tc>
          <w:tcPr>
            <w:tcW w:w="4153" w:type="dxa"/>
          </w:tcPr>
          <w:p w14:paraId="490B1FBB">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评审点具体描述</w:t>
            </w:r>
          </w:p>
        </w:tc>
      </w:tr>
      <w:tr w14:paraId="1BEB57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1134436">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w:t>
            </w:r>
          </w:p>
        </w:tc>
        <w:tc>
          <w:tcPr>
            <w:tcW w:w="3322" w:type="dxa"/>
          </w:tcPr>
          <w:p w14:paraId="371BCF1E">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单位授权书</w:t>
            </w:r>
          </w:p>
        </w:tc>
        <w:tc>
          <w:tcPr>
            <w:tcW w:w="4153" w:type="dxa"/>
          </w:tcPr>
          <w:p w14:paraId="7700C733">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3BFFD8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5314931">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w:t>
            </w:r>
          </w:p>
        </w:tc>
        <w:tc>
          <w:tcPr>
            <w:tcW w:w="3322" w:type="dxa"/>
          </w:tcPr>
          <w:p w14:paraId="636D4939">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营业执照等证明文件</w:t>
            </w:r>
          </w:p>
        </w:tc>
        <w:tc>
          <w:tcPr>
            <w:tcW w:w="4153" w:type="dxa"/>
          </w:tcPr>
          <w:p w14:paraId="7E18D172">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4E403C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D4ADD84">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w:t>
            </w:r>
          </w:p>
        </w:tc>
        <w:tc>
          <w:tcPr>
            <w:tcW w:w="3322" w:type="dxa"/>
          </w:tcPr>
          <w:p w14:paraId="55317175">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提供财务状况报告(财务报告、或资信证明）</w:t>
            </w:r>
          </w:p>
        </w:tc>
        <w:tc>
          <w:tcPr>
            <w:tcW w:w="4153" w:type="dxa"/>
          </w:tcPr>
          <w:p w14:paraId="26BBC4E6">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575B95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2BDD90C">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w:t>
            </w:r>
          </w:p>
        </w:tc>
        <w:tc>
          <w:tcPr>
            <w:tcW w:w="3322" w:type="dxa"/>
          </w:tcPr>
          <w:p w14:paraId="213A09EE">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依法缴纳税收证明材料</w:t>
            </w:r>
          </w:p>
        </w:tc>
        <w:tc>
          <w:tcPr>
            <w:tcW w:w="4153" w:type="dxa"/>
          </w:tcPr>
          <w:p w14:paraId="65D21CF1">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7ABDBB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FB34C45">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w:t>
            </w:r>
          </w:p>
        </w:tc>
        <w:tc>
          <w:tcPr>
            <w:tcW w:w="3322" w:type="dxa"/>
          </w:tcPr>
          <w:p w14:paraId="73AA19BD">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依法缴纳社会保障资金证明材料</w:t>
            </w:r>
          </w:p>
        </w:tc>
        <w:tc>
          <w:tcPr>
            <w:tcW w:w="4153" w:type="dxa"/>
          </w:tcPr>
          <w:p w14:paraId="0DE2960A">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4E886A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98973FE">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w:t>
            </w:r>
          </w:p>
        </w:tc>
        <w:tc>
          <w:tcPr>
            <w:tcW w:w="3322" w:type="dxa"/>
          </w:tcPr>
          <w:p w14:paraId="547997A5">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具备履行合同所必需设备和专业技术能力的声明函(若有)</w:t>
            </w:r>
          </w:p>
        </w:tc>
        <w:tc>
          <w:tcPr>
            <w:tcW w:w="4153" w:type="dxa"/>
          </w:tcPr>
          <w:p w14:paraId="02986755">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21785B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B6AD300">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7</w:t>
            </w:r>
          </w:p>
        </w:tc>
        <w:tc>
          <w:tcPr>
            <w:tcW w:w="3322" w:type="dxa"/>
          </w:tcPr>
          <w:p w14:paraId="1DFBF20F">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参加采购活动前三年内在经营活动中没有重大违法记录的声明</w:t>
            </w:r>
          </w:p>
        </w:tc>
        <w:tc>
          <w:tcPr>
            <w:tcW w:w="4153" w:type="dxa"/>
          </w:tcPr>
          <w:p w14:paraId="5063AB0C">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2F90D5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D595198">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w:t>
            </w:r>
          </w:p>
        </w:tc>
        <w:tc>
          <w:tcPr>
            <w:tcW w:w="3322" w:type="dxa"/>
          </w:tcPr>
          <w:p w14:paraId="2E1EE751">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信用记录查询结果</w:t>
            </w:r>
          </w:p>
        </w:tc>
        <w:tc>
          <w:tcPr>
            <w:tcW w:w="4153" w:type="dxa"/>
          </w:tcPr>
          <w:p w14:paraId="1106D6E1">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1FC444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C72280E">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9</w:t>
            </w:r>
          </w:p>
        </w:tc>
        <w:tc>
          <w:tcPr>
            <w:tcW w:w="3322" w:type="dxa"/>
          </w:tcPr>
          <w:p w14:paraId="005DAD1A">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中小企业声明函（以资格条件落实中小企业扶持政策时适用 ）</w:t>
            </w:r>
          </w:p>
        </w:tc>
        <w:tc>
          <w:tcPr>
            <w:tcW w:w="4153" w:type="dxa"/>
          </w:tcPr>
          <w:p w14:paraId="3F722C99">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37CFC2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B6D75A9">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w:t>
            </w:r>
          </w:p>
        </w:tc>
        <w:tc>
          <w:tcPr>
            <w:tcW w:w="3322" w:type="dxa"/>
          </w:tcPr>
          <w:p w14:paraId="72CDC3E6">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联合体协议（若有）</w:t>
            </w:r>
          </w:p>
        </w:tc>
        <w:tc>
          <w:tcPr>
            <w:tcW w:w="4153" w:type="dxa"/>
          </w:tcPr>
          <w:p w14:paraId="41A7240D">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①招标文件接受联合体投标且投标人为联合体的，投标人应提供本协议；否则无须提供。 ②本协议由委托代理人签字或盖章的，应按照招标文件第七章载明的格式提供“单位授权书”。</w:t>
            </w:r>
          </w:p>
        </w:tc>
      </w:tr>
    </w:tbl>
    <w:p w14:paraId="465ED47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※备注说明</w:t>
      </w:r>
    </w:p>
    <w:p w14:paraId="123C18C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①投标人应根据自身实际情况提供上述资格要求的证明材料，格式可参考招标文件第七章提供。</w:t>
      </w:r>
    </w:p>
    <w:p w14:paraId="00D43D8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②投标人提供的相应证明材料复印件均应符合：内容完整、清晰、整洁，并由投标人加盖其单位公章。</w:t>
      </w:r>
    </w:p>
    <w:p w14:paraId="31BF5FCB">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③根据招标文件第四章第一点资格审查的1.3“④其他资格证明文件”要求，允许供应商采用资格承诺制的并提供符合要求的资格承诺函，视为满足招标文件的资格要求。</w:t>
      </w:r>
    </w:p>
    <w:p w14:paraId="3B687BD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④.其他资格证明文件：</w:t>
      </w:r>
    </w:p>
    <w:p w14:paraId="43911D1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69D62E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61B479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资格审查要求概况</w:t>
            </w:r>
          </w:p>
        </w:tc>
        <w:tc>
          <w:tcPr>
            <w:tcW w:w="4614" w:type="dxa"/>
          </w:tcPr>
          <w:p w14:paraId="1D1E135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评审点具体描述</w:t>
            </w:r>
          </w:p>
        </w:tc>
      </w:tr>
      <w:tr w14:paraId="175CE0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2D3E91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资格承诺函</w:t>
            </w:r>
          </w:p>
        </w:tc>
        <w:tc>
          <w:tcPr>
            <w:tcW w:w="4614" w:type="dxa"/>
          </w:tcPr>
          <w:p w14:paraId="3F83EFA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700AC1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58A569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本采购包属于专门面向中小企业采购。</w:t>
            </w:r>
          </w:p>
        </w:tc>
        <w:tc>
          <w:tcPr>
            <w:tcW w:w="4614" w:type="dxa"/>
          </w:tcPr>
          <w:p w14:paraId="7AF2E04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本采购包为专门面向中小企业采购，投标人须提供中小企业声明函。监狱企业、残疾人福利性单位视同小型、微型企业。</w:t>
            </w:r>
          </w:p>
        </w:tc>
      </w:tr>
    </w:tbl>
    <w:p w14:paraId="73C1A7E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（3）投标保证金。</w:t>
      </w:r>
    </w:p>
    <w:p w14:paraId="58A6DA50">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1.4有下列情形之一的，资格审查不合格：</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68B9DA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618BB3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明细</w:t>
            </w:r>
          </w:p>
        </w:tc>
      </w:tr>
      <w:tr w14:paraId="07ACE8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E9C1A3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未按照招标文件规定提交投标函</w:t>
            </w:r>
          </w:p>
        </w:tc>
      </w:tr>
      <w:tr w14:paraId="1019CA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D920AE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未按照招标文件规定提交投标人的资格及资信文件</w:t>
            </w:r>
          </w:p>
        </w:tc>
      </w:tr>
      <w:tr w14:paraId="5EFA1D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2F082C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未按照招标文件规定提交投标保证金</w:t>
            </w:r>
          </w:p>
        </w:tc>
      </w:tr>
    </w:tbl>
    <w:p w14:paraId="53A0E92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w:t>
      </w:r>
    </w:p>
    <w:p w14:paraId="23C0F1A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资格审查不合格项：无</w:t>
      </w:r>
    </w:p>
    <w:p w14:paraId="152EA52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46FA089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2、资格审查情况不得私自外泄，有关信息由 天哲项目管理有限公司 统一对外发布。</w:t>
      </w:r>
    </w:p>
    <w:p w14:paraId="50A2325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3、资格审查合格的投标人不足三家的，不进行评标。同时，本次采购活动结束， 天哲项目管理有限公司 将依法组织后续采购活动（包括但不限于：重新招标、采用其他方式采购等）。</w:t>
      </w:r>
    </w:p>
    <w:p w14:paraId="0BE29DEE">
      <w:pPr>
        <w:pStyle w:val="6"/>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二、评标</w:t>
      </w:r>
    </w:p>
    <w:p w14:paraId="00076BA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4、资格审查结束后，由 天哲项目管理有限公司 负责评标委员会的组建及评标工作的组织。</w:t>
      </w:r>
    </w:p>
    <w:p w14:paraId="7AC900C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5、评标委员会</w:t>
      </w:r>
    </w:p>
    <w:p w14:paraId="432B290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由采购人代表和评审专家两部分共7人组成，其中由福建省政府采购评审专家库产生的评审专家6人，由采购人派出的采购人代表1人。</w:t>
      </w:r>
    </w:p>
    <w:p w14:paraId="38F4C17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5.2评标委员会负责具体评标事务，并按照下列原则依法独立履行有关职责：</w:t>
      </w:r>
    </w:p>
    <w:p w14:paraId="14CDC54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（1）评标应保护国家利益、社会公共利益和各方当事人合法权益，提高采购效益，保证项目质量。</w:t>
      </w:r>
    </w:p>
    <w:p w14:paraId="547B611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（2）评标应遵循公平、公正、科学、严谨和择优原则。</w:t>
      </w:r>
    </w:p>
    <w:p w14:paraId="617CF74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（3）评标的依据是招标文件和电子投标文件。</w:t>
      </w:r>
    </w:p>
    <w:p w14:paraId="0D8D89E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（4）应按照招标文件规定推荐中标候选人或确定中标人。</w:t>
      </w:r>
    </w:p>
    <w:p w14:paraId="29212A8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（5）评标应遵守下列评标纪律：</w:t>
      </w:r>
    </w:p>
    <w:p w14:paraId="501449D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①评标情况不得私自外泄，有关信息由 天哲项目管理有限公司 统一对外发布。</w:t>
      </w:r>
    </w:p>
    <w:p w14:paraId="600780A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②对 天哲项目管理有限公司 或投标人提供的要求保密的资料，不得摘记翻印和外传。</w:t>
      </w:r>
    </w:p>
    <w:p w14:paraId="69D30B2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③不得收受投标人或有关人员的任何礼物，不得串联鼓动其他人袒护某投标人。若与投标人存在利害关系，则应主动声明并回避。</w:t>
      </w:r>
    </w:p>
    <w:p w14:paraId="2D4C0E1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④全体评委应按照招标文件规定进行评标，一切认定事项应查有实据且不得弄虚作假。</w:t>
      </w:r>
    </w:p>
    <w:p w14:paraId="021CEFE0">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⑤评标中应充分发扬民主，推荐中标候选人或确定中标人后要服从评标报告。</w:t>
      </w:r>
    </w:p>
    <w:p w14:paraId="4A0B86B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※对违反评标纪律的评委，将取消其评委资格，对评标工作造成严重损失者将予以通报批评乃至追究法律责任。</w:t>
      </w:r>
    </w:p>
    <w:p w14:paraId="14B4872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6、评标程序</w:t>
      </w:r>
    </w:p>
    <w:p w14:paraId="6AF5D4D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6.1评标前的准备工作</w:t>
      </w:r>
    </w:p>
    <w:p w14:paraId="11C2D22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（1）全体评委应认真审阅招标文件，了解评委应履行或遵守的职责、义务和评标纪律。</w:t>
      </w:r>
    </w:p>
    <w:p w14:paraId="13699EB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（2）参加评标委员会的采购人代表可对本项目的背景和采购需求进行介绍，介绍材料应以书面形式提交（随采购文件一并存档），介绍内容不得含有歧视性、倾向性意见，不得超出招标文件所述范围。</w:t>
      </w:r>
    </w:p>
    <w:p w14:paraId="6C6BC64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6.2符合性审查</w:t>
      </w:r>
    </w:p>
    <w:p w14:paraId="22D7ABE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（1）评标委员会依据招标文件的实质性要求，对通过资格审查的电子投标文件进行符合性审查，以确定其是否满足招标文件的实质性要求。</w:t>
      </w:r>
    </w:p>
    <w:p w14:paraId="5710190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（2）满足招标文件的实质性要求指电子投标文件对招标文件实质性要求的响应不存在重大偏差或保留。</w:t>
      </w:r>
    </w:p>
    <w:p w14:paraId="35645B8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6E613C0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06E8D57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（5）评标委员会对所有投标人都执行相同的程序和标准。</w:t>
      </w:r>
    </w:p>
    <w:p w14:paraId="332D270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（6）有下列情形之一的，符合性审查不合格：</w:t>
      </w:r>
    </w:p>
    <w:p w14:paraId="1C85739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①项目一般情形：</w:t>
      </w:r>
    </w:p>
    <w:p w14:paraId="0DCAAB3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2E90FB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D7FDE4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序号</w:t>
            </w:r>
          </w:p>
        </w:tc>
        <w:tc>
          <w:tcPr>
            <w:tcW w:w="3115" w:type="dxa"/>
          </w:tcPr>
          <w:p w14:paraId="640673C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符合审查要求概况</w:t>
            </w:r>
          </w:p>
        </w:tc>
        <w:tc>
          <w:tcPr>
            <w:tcW w:w="4153" w:type="dxa"/>
          </w:tcPr>
          <w:p w14:paraId="275AF1E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评审点具体描述</w:t>
            </w:r>
          </w:p>
        </w:tc>
      </w:tr>
      <w:tr w14:paraId="268B8E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C77DAE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w:t>
            </w:r>
          </w:p>
        </w:tc>
        <w:tc>
          <w:tcPr>
            <w:tcW w:w="3115" w:type="dxa"/>
          </w:tcPr>
          <w:p w14:paraId="04261BD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情形1</w:t>
            </w:r>
          </w:p>
        </w:tc>
        <w:tc>
          <w:tcPr>
            <w:tcW w:w="4153" w:type="dxa"/>
          </w:tcPr>
          <w:p w14:paraId="3436985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违反招标文件中载明“投标无效”条款的规定；</w:t>
            </w:r>
          </w:p>
        </w:tc>
      </w:tr>
      <w:tr w14:paraId="6E974A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C2B64C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w:t>
            </w:r>
          </w:p>
        </w:tc>
        <w:tc>
          <w:tcPr>
            <w:tcW w:w="3115" w:type="dxa"/>
          </w:tcPr>
          <w:p w14:paraId="66BB5D9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情形2</w:t>
            </w:r>
          </w:p>
        </w:tc>
        <w:tc>
          <w:tcPr>
            <w:tcW w:w="4153" w:type="dxa"/>
          </w:tcPr>
          <w:p w14:paraId="69DD268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属于招标文件第三章第10.12条规定的投标无效情形；</w:t>
            </w:r>
          </w:p>
        </w:tc>
      </w:tr>
      <w:tr w14:paraId="3DB030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299961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w:t>
            </w:r>
          </w:p>
        </w:tc>
        <w:tc>
          <w:tcPr>
            <w:tcW w:w="3115" w:type="dxa"/>
          </w:tcPr>
          <w:p w14:paraId="4502795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情形3</w:t>
            </w:r>
          </w:p>
        </w:tc>
        <w:tc>
          <w:tcPr>
            <w:tcW w:w="4153" w:type="dxa"/>
          </w:tcPr>
          <w:p w14:paraId="5A5D1C1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投标文件对招标文件实质性要求的响应存在重大偏离或保留。</w:t>
            </w:r>
          </w:p>
        </w:tc>
      </w:tr>
    </w:tbl>
    <w:p w14:paraId="12F9181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②本项目规定的其他情形：</w:t>
      </w:r>
    </w:p>
    <w:p w14:paraId="3D31F97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w:t>
      </w:r>
    </w:p>
    <w:p w14:paraId="0584892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技术符合性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330F62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FBAA22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情形</w:t>
            </w:r>
          </w:p>
        </w:tc>
        <w:tc>
          <w:tcPr>
            <w:tcW w:w="4153" w:type="dxa"/>
          </w:tcPr>
          <w:p w14:paraId="1D06914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明细</w:t>
            </w:r>
          </w:p>
        </w:tc>
      </w:tr>
      <w:tr w14:paraId="34E89F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909D52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其他情形</w:t>
            </w:r>
          </w:p>
        </w:tc>
        <w:tc>
          <w:tcPr>
            <w:tcW w:w="4153" w:type="dxa"/>
          </w:tcPr>
          <w:p w14:paraId="0D17593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技术部分中出现报价部分的全部或部分的投标报价信息（或组成资料）。（2）对《第五章招标内容及要求》二、技术和服务要求中以“★”标示的内容有负偏离或未响应的。（3）违反招标文件中载明“投标无效”条款的规定。</w:t>
            </w:r>
          </w:p>
        </w:tc>
      </w:tr>
    </w:tbl>
    <w:p w14:paraId="0CF8D50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商务符合性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68D00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D08A27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情形</w:t>
            </w:r>
          </w:p>
        </w:tc>
        <w:tc>
          <w:tcPr>
            <w:tcW w:w="4153" w:type="dxa"/>
          </w:tcPr>
          <w:p w14:paraId="2E412CB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明细</w:t>
            </w:r>
          </w:p>
        </w:tc>
      </w:tr>
      <w:tr w14:paraId="4BD11E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42A038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其他情形</w:t>
            </w:r>
          </w:p>
        </w:tc>
        <w:tc>
          <w:tcPr>
            <w:tcW w:w="4153" w:type="dxa"/>
          </w:tcPr>
          <w:p w14:paraId="4F55906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商务部分中出现报价部分的全部或部分的投标报价信息（或组成资料）的。（2）对《第五章招标内容及要求》三、商务要求中以“★”标示的内容有负偏离或未响应的。（3）违反招标文件中载明“投标无效”条款的规定。</w:t>
            </w:r>
          </w:p>
        </w:tc>
      </w:tr>
    </w:tbl>
    <w:p w14:paraId="5C971F7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价格符合性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0C67A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BBC7E7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情形</w:t>
            </w:r>
          </w:p>
        </w:tc>
        <w:tc>
          <w:tcPr>
            <w:tcW w:w="4153" w:type="dxa"/>
          </w:tcPr>
          <w:p w14:paraId="359DFF8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明细</w:t>
            </w:r>
          </w:p>
        </w:tc>
      </w:tr>
      <w:tr w14:paraId="5EFCF9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EB7BB6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其他情形</w:t>
            </w:r>
          </w:p>
        </w:tc>
        <w:tc>
          <w:tcPr>
            <w:tcW w:w="4153" w:type="dxa"/>
          </w:tcPr>
          <w:p w14:paraId="46E5336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投标报价超过招标文件中规定的预算金额或最高限价的，按投标无效处理。（2）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3）违反招标文件中载明“投标无效”条款的规定。</w:t>
            </w:r>
          </w:p>
        </w:tc>
      </w:tr>
    </w:tbl>
    <w:p w14:paraId="67939260">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6.3澄清有关问题</w:t>
      </w:r>
    </w:p>
    <w:p w14:paraId="44B6665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（1）对通过符合性审查的电子投标文件中含义不明确、同类问题表述不一致或有明显文字和计算错误的内容，评标委员会将以书面形式要求投标人作出必要的澄清、说明或补正。</w:t>
      </w:r>
    </w:p>
    <w:p w14:paraId="3B7A4CA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5C5EEF4A">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（3）电子投标文件报价出现前后不一致的，除招标文件另有规定外，按照下列规定修正：</w:t>
      </w:r>
    </w:p>
    <w:p w14:paraId="7EF5E50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①开标（报价）一览表内容与电子投标文件中相应内容不一致的，以开标（报价）一览表为准；</w:t>
      </w:r>
    </w:p>
    <w:p w14:paraId="247C767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②大写金额和小写金额不一致的，以大写金额为准；</w:t>
      </w:r>
    </w:p>
    <w:p w14:paraId="733AB55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③单价金额小数点或百分比有明显错位的，以开标（报价）一览表的总价为准，并修改单价；</w:t>
      </w:r>
    </w:p>
    <w:p w14:paraId="42D1404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④总价金额与按照单价汇总金额不一致的，以单价金额计算结果为准。</w:t>
      </w:r>
    </w:p>
    <w:p w14:paraId="71063E8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※同时出现两种以上不一致的，按照前款规定的顺序修正。修正后的报价应按照本章第6.3条第（1）、（2）款规定经投标人确认后产生约束力，投标人不确认的，其投标无效。</w:t>
      </w:r>
    </w:p>
    <w:p w14:paraId="109CF61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（4）关于细微偏差</w:t>
      </w:r>
    </w:p>
    <w:p w14:paraId="118A617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2C7D025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②评标委员会将以书面形式要求存在细微偏差的投标人在评标委员会规定的时间内予以补正。若无法补正，则评标委员会将按照不利于投标人的内容进行认定。</w:t>
      </w:r>
    </w:p>
    <w:p w14:paraId="4531EBA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（5）关于投标描述（即电子投标文件中描述的内容）</w:t>
      </w:r>
    </w:p>
    <w:p w14:paraId="38C1752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①投标描述前后不一致且不涉及证明材料的：按照本章第6.3条第（1）、（2）款规定执行。</w:t>
      </w:r>
    </w:p>
    <w:p w14:paraId="58AA716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②投标描述与证明材料不一致或多份证明材料之间不一致的：</w:t>
      </w:r>
    </w:p>
    <w:p w14:paraId="2E845F4A">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a.评标委员会将要求投标人进行书面澄清，并按照不利于投标人的内容进行评标。</w:t>
      </w:r>
    </w:p>
    <w:p w14:paraId="6D62433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5DF8851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2174E51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6.4比较与评价</w:t>
      </w:r>
    </w:p>
    <w:p w14:paraId="3B6F2B0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（1）按照本章第7条载明的评标方法和标准，对符合性审查合格的电子投标文件进行比较与评价。</w:t>
      </w:r>
    </w:p>
    <w:p w14:paraId="4B41180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（2）关于相同品牌产品（政府采购服务类项目不适用本条款规定）</w:t>
      </w:r>
    </w:p>
    <w:p w14:paraId="3A6386B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496AA55A">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a.招标文件规定的方式：</w:t>
      </w:r>
    </w:p>
    <w:p w14:paraId="781467C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p w14:paraId="194D88E0">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b.招标文件未规定的，采取随机抽取方式确定，其他投标无效。</w:t>
      </w:r>
    </w:p>
    <w:p w14:paraId="1B8ED96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519B291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a.招标文件规定的方式：</w:t>
      </w:r>
    </w:p>
    <w:p w14:paraId="3284085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p w14:paraId="05BB54B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b.招标文件未规定的，采取随机抽取方式确定，其他同品牌投标人不作为中标候选人。</w:t>
      </w:r>
    </w:p>
    <w:p w14:paraId="153381F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③非单一产品采购项目，多家投标人提供的核心产品品牌相同的，按照本章第6.4条第（2）款第①、②规定处理。</w:t>
      </w:r>
    </w:p>
    <w:p w14:paraId="170B4E56">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（3）漏（缺）项</w:t>
      </w:r>
    </w:p>
    <w:p w14:paraId="4D7A07C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①招标文件中要求列入报价的费用（含配置、功能），漏（缺）项的报价视为已经包括在投标总价中。</w:t>
      </w:r>
    </w:p>
    <w:p w14:paraId="7395973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②对多报项及赠送项的价格评标时不予核减，全部进入评标价评议。</w:t>
      </w:r>
    </w:p>
    <w:p w14:paraId="4BBFB3C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6.5推荐中标候选人：详见本章第7.2条规定。</w:t>
      </w:r>
    </w:p>
    <w:p w14:paraId="6ACF006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6.6编写评标报告</w:t>
      </w:r>
    </w:p>
    <w:p w14:paraId="3C286B0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（1）评标报告由评标委员会负责编写。</w:t>
      </w:r>
    </w:p>
    <w:p w14:paraId="6C6E28E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（2）评标报告应包括下列内容：</w:t>
      </w:r>
    </w:p>
    <w:p w14:paraId="6D42C6E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①招标公告刊登的媒体名称、开标日期和地点；</w:t>
      </w:r>
    </w:p>
    <w:p w14:paraId="22EBBD5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②投标人名单和评标委员会成员名单；</w:t>
      </w:r>
    </w:p>
    <w:p w14:paraId="600BBA07">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③评标方法和标准；</w:t>
      </w:r>
    </w:p>
    <w:p w14:paraId="337DB12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④开标记录和评标情况及说明，包括无效投标人名单及原因；</w:t>
      </w:r>
    </w:p>
    <w:p w14:paraId="720194C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⑤评标结果，包括中标候选人名单或确定的中标人；</w:t>
      </w:r>
    </w:p>
    <w:p w14:paraId="1B149ED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⑥其他需要说明的情况，包括但不限于：评标过程中投标人的澄清、说明或补正，评委更换等。</w:t>
      </w:r>
    </w:p>
    <w:p w14:paraId="3404662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073C9AD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6.8评委对需要共同认定的事项存在争议的，应按照少数服从多数的原则进行认定。持不同意见的评委应在评标报告上签署不同意见及理由，否则视为同意评标报告。</w:t>
      </w:r>
    </w:p>
    <w:p w14:paraId="193D70A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6.9在评标过程中发现投标人有下列情形之一的，评标委员会应认定其投标无效，并书面报告本项目监督管理部门：</w:t>
      </w:r>
    </w:p>
    <w:p w14:paraId="29D5BEC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（1）恶意串通（包括但不限于招标文件第三章第9.7条规定情形）；</w:t>
      </w:r>
    </w:p>
    <w:p w14:paraId="7169219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（2）妨碍其他投标人的竞争行为；</w:t>
      </w:r>
    </w:p>
    <w:p w14:paraId="30CE3F3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（3）损害采购人或其他投标人的合法权益。</w:t>
      </w:r>
    </w:p>
    <w:p w14:paraId="53EDA5B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6.10评标过程中，有下列情形之一的，应予废标：</w:t>
      </w:r>
    </w:p>
    <w:p w14:paraId="70B2BB8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（1）符合性审查合格的投标人不足三家的；</w:t>
      </w:r>
    </w:p>
    <w:p w14:paraId="1B7E3A3E">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（2）有关法律、法规和规章规定废标的情形。</w:t>
      </w:r>
    </w:p>
    <w:p w14:paraId="702B43A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※若废标，则本次采购活动结束， 天哲项目管理有限公司 将依法组织后续采购活动（包括但不限于：重新招标、采用其他方式采购等）。</w:t>
      </w:r>
    </w:p>
    <w:p w14:paraId="285F443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7、评标方法和标准</w:t>
      </w:r>
    </w:p>
    <w:p w14:paraId="59E9EF04">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7.1评标方法：</w:t>
      </w:r>
    </w:p>
    <w:p w14:paraId="3693A23A">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采购包1：综合评分法</w:t>
      </w:r>
    </w:p>
    <w:p w14:paraId="23A56D73">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7.2评标标准</w:t>
      </w:r>
    </w:p>
    <w:p w14:paraId="232CB41B">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采购包1：综合评分法</w:t>
      </w:r>
    </w:p>
    <w:p w14:paraId="04CEDFF5">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（1）投标文件满足招标文件全部实质性要求，且按照评审因素的量化指标评审得分（即评标总得分）最高的投标人为中标候选人。</w:t>
      </w:r>
    </w:p>
    <w:p w14:paraId="5816B842">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7AE4B686">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各项评审因素的设置如下：</w:t>
      </w:r>
    </w:p>
    <w:p w14:paraId="70595213">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价格项（F1×A1）满分为10.0000分</w:t>
      </w:r>
    </w:p>
    <w:p w14:paraId="1885FEFF">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7C773E83">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价格扣除的规则如下：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08D64D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B52EC81">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项目</w:t>
            </w:r>
          </w:p>
        </w:tc>
        <w:tc>
          <w:tcPr>
            <w:tcW w:w="1661" w:type="dxa"/>
          </w:tcPr>
          <w:p w14:paraId="3CAEBB42">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适用对象</w:t>
            </w:r>
          </w:p>
        </w:tc>
        <w:tc>
          <w:tcPr>
            <w:tcW w:w="831" w:type="dxa"/>
          </w:tcPr>
          <w:p w14:paraId="72EB36BC">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比例</w:t>
            </w:r>
          </w:p>
        </w:tc>
        <w:tc>
          <w:tcPr>
            <w:tcW w:w="4153" w:type="dxa"/>
          </w:tcPr>
          <w:p w14:paraId="06118DC4">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描述</w:t>
            </w:r>
          </w:p>
        </w:tc>
      </w:tr>
      <w:tr w14:paraId="32ED1B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2E869C85">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无</w:t>
            </w:r>
          </w:p>
        </w:tc>
      </w:tr>
    </w:tbl>
    <w:p w14:paraId="125B4259">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优先类节能产品、环境标志产品的价格扣除规则如下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5191"/>
      </w:tblGrid>
      <w:tr w14:paraId="4AB6F0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E57B953">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项目</w:t>
            </w:r>
          </w:p>
        </w:tc>
        <w:tc>
          <w:tcPr>
            <w:tcW w:w="1038" w:type="dxa"/>
          </w:tcPr>
          <w:p w14:paraId="725EE3EB">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比例</w:t>
            </w:r>
          </w:p>
        </w:tc>
        <w:tc>
          <w:tcPr>
            <w:tcW w:w="5191" w:type="dxa"/>
          </w:tcPr>
          <w:p w14:paraId="195B8D8C">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方法</w:t>
            </w:r>
          </w:p>
        </w:tc>
      </w:tr>
      <w:tr w14:paraId="7C3B04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851DB2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节能、环境标志产品</w:t>
            </w:r>
          </w:p>
        </w:tc>
        <w:tc>
          <w:tcPr>
            <w:tcW w:w="1038" w:type="dxa"/>
          </w:tcPr>
          <w:p w14:paraId="28669C62">
            <w:pPr>
              <w:pStyle w:val="6"/>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10.00%</w:t>
            </w:r>
          </w:p>
        </w:tc>
        <w:tc>
          <w:tcPr>
            <w:tcW w:w="5191" w:type="dxa"/>
          </w:tcPr>
          <w:p w14:paraId="6664B6A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本节点用于投标人上传报价明细表，不作价格扣除使用。</w:t>
            </w:r>
          </w:p>
        </w:tc>
      </w:tr>
    </w:tbl>
    <w:p w14:paraId="5BC212FB">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其他：无</w:t>
      </w:r>
    </w:p>
    <w:p w14:paraId="73E48AA8">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技术项（F2×A2）满分为75.0000分</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28"/>
        <w:gridCol w:w="810"/>
        <w:gridCol w:w="1631"/>
        <w:gridCol w:w="3738"/>
      </w:tblGrid>
      <w:tr w14:paraId="7D2942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tcPr>
          <w:p w14:paraId="766C6C96">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项目</w:t>
            </w:r>
          </w:p>
        </w:tc>
        <w:tc>
          <w:tcPr>
            <w:tcW w:w="810" w:type="dxa"/>
          </w:tcPr>
          <w:p w14:paraId="2C5D98E6">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分值</w:t>
            </w:r>
          </w:p>
        </w:tc>
        <w:tc>
          <w:tcPr>
            <w:tcW w:w="1631" w:type="dxa"/>
          </w:tcPr>
          <w:p w14:paraId="1A103338">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是否客观项</w:t>
            </w:r>
          </w:p>
        </w:tc>
        <w:tc>
          <w:tcPr>
            <w:tcW w:w="3738" w:type="dxa"/>
          </w:tcPr>
          <w:p w14:paraId="590775ED">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描述</w:t>
            </w:r>
          </w:p>
        </w:tc>
      </w:tr>
      <w:tr w14:paraId="448B9E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68FAF1D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T1.技术响应情况</w:t>
            </w:r>
          </w:p>
        </w:tc>
        <w:tc>
          <w:tcPr>
            <w:tcW w:w="810" w:type="dxa"/>
            <w:vAlign w:val="center"/>
          </w:tcPr>
          <w:p w14:paraId="4D05DBB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24.00</w:t>
            </w:r>
          </w:p>
        </w:tc>
        <w:tc>
          <w:tcPr>
            <w:tcW w:w="1631" w:type="dxa"/>
            <w:vAlign w:val="center"/>
          </w:tcPr>
          <w:p w14:paraId="4D3EA545">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3738" w:type="dxa"/>
          </w:tcPr>
          <w:p w14:paraId="1419C555">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T1.根据各投标人对招标文件“第五章 招标内容及要求 二、技术和服务要求”中各项技术参数的逐项响应情况由评委进行评分：完全满足要求的得满分24分；带“★”标识的技术参数（共5项）为实质性要求，若出现任意一项负偏离按无效投标处理；未以“★”标识的技术参数（共16项），每负偏离一项扣1.5分，正偏离不加分。【注：招标文件中若有要求投标人提供相应佐证材料的，投标人未提供相应佐证材料或者投标人的响应承诺 与其佐证材料不一致的，评标委员会将以不利于供应商的内容为准进行评审（负偏离）】（满分24分）</w:t>
            </w:r>
          </w:p>
        </w:tc>
      </w:tr>
      <w:tr w14:paraId="788BF9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57551C8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T2.养护计划方案</w:t>
            </w:r>
          </w:p>
        </w:tc>
        <w:tc>
          <w:tcPr>
            <w:tcW w:w="810" w:type="dxa"/>
            <w:vAlign w:val="center"/>
          </w:tcPr>
          <w:p w14:paraId="3412154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31" w:type="dxa"/>
            <w:vAlign w:val="center"/>
          </w:tcPr>
          <w:p w14:paraId="1464BFC2">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否</w:t>
            </w:r>
          </w:p>
        </w:tc>
        <w:tc>
          <w:tcPr>
            <w:tcW w:w="3738" w:type="dxa"/>
          </w:tcPr>
          <w:p w14:paraId="7B082FA0">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2.根据各投标人提供的年养护计划、季度养护计划、月养护计划（包括养护工作总体计划、水肥管理及该项目养护工作可能发生的问题及解决方案）、绿化保洁工作计划（包括绿地保洁、绿化施工保洁、标准、承诺绿化垃圾无害化处理方案等）情况，由评标委员会进行评分，计划包含的要点齐全无缺漏项、内容与要点相符、每个要点均有展开详细的阐述，内容描述全面合理，细节考虑周全且有利于本项目实施的得3分；方案所包含的要点齐全、内容与要点相符、每个要点均有展开阐述，内容描述较全面但不够细化，细节考虑较周全，能够适用于本项目的得2.9分；方案所包含的内容与要点相符但仅有纲要、内容简略，未展开详细阐述，勉强能够适用于本项目的得2.8分；内容与本项目不符或未提供的均不得分。（满分3分）</w:t>
            </w:r>
          </w:p>
        </w:tc>
      </w:tr>
      <w:tr w14:paraId="7D9B06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3B5DF45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T3.养护技术方案</w:t>
            </w:r>
          </w:p>
        </w:tc>
        <w:tc>
          <w:tcPr>
            <w:tcW w:w="810" w:type="dxa"/>
            <w:vAlign w:val="center"/>
          </w:tcPr>
          <w:p w14:paraId="4095F668">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31" w:type="dxa"/>
            <w:vAlign w:val="center"/>
          </w:tcPr>
          <w:p w14:paraId="5347D9DD">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否</w:t>
            </w:r>
          </w:p>
        </w:tc>
        <w:tc>
          <w:tcPr>
            <w:tcW w:w="3738" w:type="dxa"/>
          </w:tcPr>
          <w:p w14:paraId="5B240A03">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3.根据各投标人针对本项目范围内的植物生长习性、人文地理、气候环境等情况所提供的养护技术方案情况（须包含修剪、施肥、病虫害防治等日常养护工作），由评标委员会进行评分，养护技术方案包含的要点齐全无缺漏项、内容与要点相符、每个要点均有展开详细的阐述，内容描述全面合理，细节考虑周全且有利于本项目实施的得3分；方案所包含的要点齐全、内容与要点相符、每个要点均有展开阐述，内容描述较全面但不够细化，细节考虑较周全，能够适用于本项目的得2.9分；方案所包含的内容与要点相符但仅有纲要、内容简略，未展开详细阐述，勉强能够适用于本项目的得2.8分；内容与本项目不符或未提供的均不得分。（满分3分)</w:t>
            </w:r>
          </w:p>
        </w:tc>
      </w:tr>
      <w:tr w14:paraId="05ED90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3454D88F">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T4.绿化养护管理制度</w:t>
            </w:r>
          </w:p>
        </w:tc>
        <w:tc>
          <w:tcPr>
            <w:tcW w:w="810" w:type="dxa"/>
            <w:vAlign w:val="center"/>
          </w:tcPr>
          <w:p w14:paraId="08B7C132">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31" w:type="dxa"/>
            <w:vAlign w:val="center"/>
          </w:tcPr>
          <w:p w14:paraId="51DD77AD">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否</w:t>
            </w:r>
          </w:p>
        </w:tc>
        <w:tc>
          <w:tcPr>
            <w:tcW w:w="3738" w:type="dxa"/>
          </w:tcPr>
          <w:p w14:paraId="7C075556">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4.根据各投标人提供的绿化养护管理制度（包括管理制度、监督检查机制、组织分工及人员岗位培训等方面）情况,由评标委员会进行评分，制度、培训等方面包含的要点齐全无缺漏项、内容与要点相符、每个要点均有展开详细的阐述，内容描述全面合理，细节考虑周全且有利于本项目实施的得3分；方案所包含的要点齐全、内容与要点相符、每个要点均有展开阐述，内容描述较全面但不够细化，细节考虑较周全，能够适用于本项目的得2.9分；方案所包含的内容与要点相符但仅有纲要、内容简略，未展开详细阐述，勉强能够适用于本项目的得2.8分；内容与本项目不符或未提供的均不得分。（满分3分）</w:t>
            </w:r>
          </w:p>
        </w:tc>
      </w:tr>
      <w:tr w14:paraId="072C79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14F86448">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T5.病虫害防治专项预案</w:t>
            </w:r>
          </w:p>
        </w:tc>
        <w:tc>
          <w:tcPr>
            <w:tcW w:w="810" w:type="dxa"/>
            <w:vAlign w:val="center"/>
          </w:tcPr>
          <w:p w14:paraId="35825211">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31" w:type="dxa"/>
            <w:vAlign w:val="center"/>
          </w:tcPr>
          <w:p w14:paraId="1720FCC4">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否</w:t>
            </w:r>
          </w:p>
        </w:tc>
        <w:tc>
          <w:tcPr>
            <w:tcW w:w="3738" w:type="dxa"/>
          </w:tcPr>
          <w:p w14:paraId="1CBD1C76">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5.根据各投标人提供的病虫害防治专项预案情况，由评标委员会进行评分，病虫害防治专项预案包含的要点齐全无缺漏项、内容与要点相符、每个要点均有展开详细的阐述，内容描述全面合理，细节考虑周全且有利于本项目实施的得3分；方案所包含的要点齐全、内容与要点相符、每个要点均有展开阐述，内容描述较全面但不够细化，细节考虑较周全，能够适用于本项目的得2.9分；方案所包含的内容与要点相符但仅有纲要、内容简略，未展开详细阐述，勉强能够适用于本项目的得2.8分；内容与本项目不符或未提供的均不得分。（满分3分）</w:t>
            </w:r>
          </w:p>
        </w:tc>
      </w:tr>
      <w:tr w14:paraId="598D61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752F230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T6.大树修剪专项方案</w:t>
            </w:r>
          </w:p>
        </w:tc>
        <w:tc>
          <w:tcPr>
            <w:tcW w:w="810" w:type="dxa"/>
            <w:vAlign w:val="center"/>
          </w:tcPr>
          <w:p w14:paraId="475235A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31" w:type="dxa"/>
            <w:vAlign w:val="center"/>
          </w:tcPr>
          <w:p w14:paraId="0C15CB5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否</w:t>
            </w:r>
          </w:p>
        </w:tc>
        <w:tc>
          <w:tcPr>
            <w:tcW w:w="3738" w:type="dxa"/>
          </w:tcPr>
          <w:p w14:paraId="18CB15F2">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6.根据各投标人提供的大树修剪专项方案情况（含大树修剪安全作业管理、机械设备投入、修剪计划等方面），由评标委员会进行评分，大树修剪专项方案包含的要点齐全无缺漏项、内容与要点相符、每个要点均有展开详细的阐述，内容描述全面合理，细节考虑周全且有利于本项目实施的得3分；方案所包含的要点齐全、内容与要点相符、每个要点均有展开阐述，内容描述较全面但不够细化，细节考虑较周全，能够适用于本项目的得2.9分；方案所包含的内容与要点相符但仅有纲要、内容简略，未展开详细阐述，勉强能够适用于本项目的得2.8分；内容与本项目不符或未提供的均不得分。（满分3分）</w:t>
            </w:r>
          </w:p>
        </w:tc>
      </w:tr>
      <w:tr w14:paraId="2007D3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019BFBFF">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T7.作业人员安全文明施工、安全文明作业培训和管理方案</w:t>
            </w:r>
          </w:p>
        </w:tc>
        <w:tc>
          <w:tcPr>
            <w:tcW w:w="810" w:type="dxa"/>
            <w:vAlign w:val="center"/>
          </w:tcPr>
          <w:p w14:paraId="5D55D911">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31" w:type="dxa"/>
            <w:vAlign w:val="center"/>
          </w:tcPr>
          <w:p w14:paraId="54F6F949">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否</w:t>
            </w:r>
          </w:p>
        </w:tc>
        <w:tc>
          <w:tcPr>
            <w:tcW w:w="3738" w:type="dxa"/>
          </w:tcPr>
          <w:p w14:paraId="0EED2D59">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7.根据各投标人针对本项目提供的作业人员安全文明施工、安全文明作业培训和管理情况，投标人须提供具体的文明施工作业规章制度和培训方案。由评标委员会进行评分，文明施工作业规章制度和培训方案包含的要点齐全无缺漏项、内容与要点相符、每个要点均有展开详细的阐述，内容描述全面合理，细节考虑周全且有利于本项目实施的得3分；方案所包含的要点齐全、内容与要点相符、每个要点均有展开阐述，内容描述较全面但不够细化，细节考虑较周全，能够适用于本项目的得2.9分；方案所包含的内容与要点相符但仅有纲要、内容简略，未展开详细阐述，勉强能够适用于本项目的得2.8分；内容与本项目不符或未提供的均不得分。（满分3分）</w:t>
            </w:r>
          </w:p>
        </w:tc>
      </w:tr>
      <w:tr w14:paraId="5AD562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08A925FB">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T8.重要工作、重大活动保障方案</w:t>
            </w:r>
          </w:p>
        </w:tc>
        <w:tc>
          <w:tcPr>
            <w:tcW w:w="810" w:type="dxa"/>
            <w:vAlign w:val="center"/>
          </w:tcPr>
          <w:p w14:paraId="2F0DA88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31" w:type="dxa"/>
            <w:vAlign w:val="center"/>
          </w:tcPr>
          <w:p w14:paraId="2C62364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否</w:t>
            </w:r>
          </w:p>
        </w:tc>
        <w:tc>
          <w:tcPr>
            <w:tcW w:w="3738" w:type="dxa"/>
          </w:tcPr>
          <w:p w14:paraId="484261E4">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8.根据各投标人提供的重要工作、重大活动保障方案情况，由评标委员会进评分，方案内容包含的要点齐全无缺漏项、内容与要点相符、每个要点均有展开详细的阐述，内容描述全面合理，细节考虑周全且有利于本项目实施的得3分；方案所包含的要点齐全、内容与要点相符、每个要点均有展开阐述，内容描述较全面但不够细化，细节考虑较周全，能够适用于本项目的得2.9分；方案所包含的内容与要点相符但仅有纲要、内容简略，未展开详细阐述，勉强能够适用于本项目的得2.8分；内容与本项目不符或未提供的均不得分。（满分3分）</w:t>
            </w:r>
          </w:p>
        </w:tc>
      </w:tr>
      <w:tr w14:paraId="65EBFE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36A29568">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T9.防台风、暴雨等突发事件应急预案</w:t>
            </w:r>
          </w:p>
        </w:tc>
        <w:tc>
          <w:tcPr>
            <w:tcW w:w="810" w:type="dxa"/>
            <w:vAlign w:val="center"/>
          </w:tcPr>
          <w:p w14:paraId="43011AA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31" w:type="dxa"/>
            <w:vAlign w:val="center"/>
          </w:tcPr>
          <w:p w14:paraId="45A33650">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否</w:t>
            </w:r>
          </w:p>
        </w:tc>
        <w:tc>
          <w:tcPr>
            <w:tcW w:w="3738" w:type="dxa"/>
          </w:tcPr>
          <w:p w14:paraId="3DE64CDB">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9.根据各投标人提供的防台风、暴雨等突发事件应急预案（包括突发紧急事件的保障措施及响应时间等方面）的情况，由评标委员会进行评分，应急预案包含的要点齐全无缺漏项、内容与要点相符、每个要点均有展开详细的阐述，内容描述全面合理，细节考虑周全且有利于本项目实施的得3分；方案所包含的要点齐全、内容与要点相符、每个要点均有展开阐述，内容描述较全面但不够细化，细节考虑较周全，能够适用于本项目的得2.9分；方案所包含的内容与要点相符但仅有纲要、内容简略，未展开详细阐述，勉强能够适用于本项目的得2.8分；内容与本项目不符或未提供的均不得分。（满分3分）</w:t>
            </w:r>
          </w:p>
        </w:tc>
      </w:tr>
      <w:tr w14:paraId="27D58A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12F33BBF">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T10.开花植物养护方案</w:t>
            </w:r>
          </w:p>
        </w:tc>
        <w:tc>
          <w:tcPr>
            <w:tcW w:w="810" w:type="dxa"/>
            <w:vAlign w:val="center"/>
          </w:tcPr>
          <w:p w14:paraId="3F4105CB">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31" w:type="dxa"/>
            <w:vAlign w:val="center"/>
          </w:tcPr>
          <w:p w14:paraId="78E9571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否</w:t>
            </w:r>
          </w:p>
        </w:tc>
        <w:tc>
          <w:tcPr>
            <w:tcW w:w="3738" w:type="dxa"/>
          </w:tcPr>
          <w:p w14:paraId="73169429">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10.根据各投标人提供的开花植物养护方案（包括美丽异木棉、蓝花楹、黄花风铃木、碧桃、三角梅、小叶紫薇等），由评标委员会进行评分，方案内容包含的要点齐全无缺漏项、内容与要点相符、每个要点均有展开详细的阐述，内容描述全面合理，细节考虑周全且有利于本项目实施的得3分；方案所包含的要点齐全、内容与要点相符、每个要点均有展开阐述，内容描述较全面但不够细化，细节考虑较周全，能够适用于本项目的得2.9分；方案所包含的内容与要点相符但仅有纲要、内容简略，未展开详细阐述，勉强能够适用于本项目的得2.8分；内容与本项目不符或未提供的均不得分。（满分3分）</w:t>
            </w:r>
          </w:p>
        </w:tc>
      </w:tr>
      <w:tr w14:paraId="78DCB4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257EBB95">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T11.郁金香种植及养护、草花播种及养护、莳花种植及养护方案</w:t>
            </w:r>
          </w:p>
        </w:tc>
        <w:tc>
          <w:tcPr>
            <w:tcW w:w="810" w:type="dxa"/>
            <w:vAlign w:val="center"/>
          </w:tcPr>
          <w:p w14:paraId="712EC26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31" w:type="dxa"/>
            <w:vAlign w:val="center"/>
          </w:tcPr>
          <w:p w14:paraId="1E7856F2">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否</w:t>
            </w:r>
          </w:p>
        </w:tc>
        <w:tc>
          <w:tcPr>
            <w:tcW w:w="3738" w:type="dxa"/>
          </w:tcPr>
          <w:p w14:paraId="7DBD6376">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11.根据各投标人提供的郁金香种植及养护、草花播种及养护、莳花种植及养护的方案，由评标委员会进行评分，方案内容包含的要点齐全无缺漏项、内容与要点相符、每个要点均有展开详细的阐述，内容描述全面合理，细节考虑周全且有利于本项目实施的得3分；方案所包含的要点齐全、内容与要点相符、每个要点均有展开阐述，内容描述较全面但不够细化，细节考虑较周全，能够适用于本项目的得2.9分；方案所包含的内容与要点相符但仅有纲要、内容简略，未展开详细阐述，勉强能够适用于本项目的得2.8分；内容与本项目不符或未提供的均不得分。(满分3分)</w:t>
            </w:r>
          </w:p>
        </w:tc>
      </w:tr>
      <w:tr w14:paraId="1425B0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54646976">
            <w:pPr>
              <w:pStyle w:val="6"/>
              <w:jc w:val="center"/>
              <w:rPr>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T12.茉莉花养护、福桔养护、水杉养护</w:t>
            </w:r>
            <w:r>
              <w:rPr>
                <w:rFonts w:hint="eastAsia" w:ascii="仿宋_GB2312" w:hAnsi="仿宋_GB2312" w:eastAsia="仿宋_GB2312" w:cs="仿宋_GB2312"/>
                <w:color w:val="000000" w:themeColor="text1"/>
                <w:lang w:eastAsia="zh-CN"/>
                <w14:textFill>
                  <w14:solidFill>
                    <w14:schemeClr w14:val="tx1"/>
                  </w14:solidFill>
                </w14:textFill>
              </w:rPr>
              <w:t>、粉黛乱子草</w:t>
            </w:r>
            <w:r>
              <w:rPr>
                <w:rFonts w:hint="eastAsia" w:ascii="仿宋_GB2312" w:hAnsi="仿宋_GB2312" w:eastAsia="仿宋_GB2312" w:cs="仿宋_GB2312"/>
                <w:color w:val="000000" w:themeColor="text1"/>
                <w14:textFill>
                  <w14:solidFill>
                    <w14:schemeClr w14:val="tx1"/>
                  </w14:solidFill>
                </w14:textFill>
              </w:rPr>
              <w:t>养护方案</w:t>
            </w:r>
          </w:p>
        </w:tc>
        <w:tc>
          <w:tcPr>
            <w:tcW w:w="810" w:type="dxa"/>
            <w:vAlign w:val="center"/>
          </w:tcPr>
          <w:p w14:paraId="1916BFC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31" w:type="dxa"/>
            <w:vAlign w:val="center"/>
          </w:tcPr>
          <w:p w14:paraId="223415E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否</w:t>
            </w:r>
          </w:p>
        </w:tc>
        <w:tc>
          <w:tcPr>
            <w:tcW w:w="3738" w:type="dxa"/>
          </w:tcPr>
          <w:p w14:paraId="5B8DFD35">
            <w:pPr>
              <w:pStyle w:val="6"/>
              <w:jc w:val="both"/>
              <w:rPr>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T1</w:t>
            </w:r>
            <w:r>
              <w:rPr>
                <w:rFonts w:hint="eastAsia" w:ascii="仿宋_GB2312" w:hAnsi="仿宋_GB2312" w:eastAsia="仿宋_GB2312" w:cs="仿宋_GB2312"/>
                <w:color w:val="000000" w:themeColor="text1"/>
                <w:lang w:val="en-US" w:eastAsia="zh-CN"/>
                <w14:textFill>
                  <w14:solidFill>
                    <w14:schemeClr w14:val="tx1"/>
                  </w14:solidFill>
                </w14:textFill>
              </w:rPr>
              <w:t>2</w:t>
            </w:r>
            <w:r>
              <w:rPr>
                <w:rFonts w:hint="eastAsia" w:ascii="仿宋_GB2312" w:hAnsi="仿宋_GB2312" w:eastAsia="仿宋_GB2312" w:cs="仿宋_GB2312"/>
                <w:color w:val="000000" w:themeColor="text1"/>
                <w14:textFill>
                  <w14:solidFill>
                    <w14:schemeClr w14:val="tx1"/>
                  </w14:solidFill>
                </w14:textFill>
              </w:rPr>
              <w:t>.根据各投标人提供的茉莉花养护、福桔养护、水杉养护</w:t>
            </w:r>
            <w:r>
              <w:rPr>
                <w:rFonts w:hint="eastAsia" w:ascii="仿宋_GB2312" w:hAnsi="仿宋_GB2312" w:eastAsia="仿宋_GB2312" w:cs="仿宋_GB2312"/>
                <w:color w:val="000000" w:themeColor="text1"/>
                <w:lang w:eastAsia="zh-CN"/>
                <w14:textFill>
                  <w14:solidFill>
                    <w14:schemeClr w14:val="tx1"/>
                  </w14:solidFill>
                </w14:textFill>
              </w:rPr>
              <w:t>、粉黛乱子草</w:t>
            </w:r>
            <w:r>
              <w:rPr>
                <w:rFonts w:hint="eastAsia" w:ascii="仿宋_GB2312" w:hAnsi="仿宋_GB2312" w:eastAsia="仿宋_GB2312" w:cs="仿宋_GB2312"/>
                <w:color w:val="000000" w:themeColor="text1"/>
                <w14:textFill>
                  <w14:solidFill>
                    <w14:schemeClr w14:val="tx1"/>
                  </w14:solidFill>
                </w14:textFill>
              </w:rPr>
              <w:t>养护方案，由评标委员会进行评分，方案内容包含的要点齐全无缺漏项、内容与要点相符、每个要点均有展开详细的阐述，内容描述全面合理，细节考虑周全且有利于本项目实施的得3分；方案所包含的要点齐全、内容与要点相符、每个要点均有展开阐述，内容描述较全面但不够细化，细节考虑较周全，能够适用于本项目的得2.9分；方案所包含的内容与要点相符但仅有纲要、内容简略，未展开详细阐述，勉强能够适用于本项目的得2.8分；内容与本项目不符或未提供的均不得分。（满分3分）</w:t>
            </w:r>
          </w:p>
        </w:tc>
      </w:tr>
      <w:tr w14:paraId="429915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7CE122D2">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T13.项目负责人具备的技术能力</w:t>
            </w:r>
          </w:p>
        </w:tc>
        <w:tc>
          <w:tcPr>
            <w:tcW w:w="810" w:type="dxa"/>
            <w:vAlign w:val="center"/>
          </w:tcPr>
          <w:p w14:paraId="1BD6905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2.00</w:t>
            </w:r>
          </w:p>
        </w:tc>
        <w:tc>
          <w:tcPr>
            <w:tcW w:w="1631" w:type="dxa"/>
            <w:vAlign w:val="center"/>
          </w:tcPr>
          <w:p w14:paraId="6B197FE4">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3738" w:type="dxa"/>
          </w:tcPr>
          <w:p w14:paraId="15CD3056">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T13. 根据各投标人拟投入本项目的项目负责人具备的技术能力情况进行评分：具有园林绿化相关专业高级及以上职称的得2分，满分2分。须提供投标截止时间前六个月任意一个月（不含投标截止当月）依法在投标人单位缴纳的社保证明材料（从社保窗口或从社保系统中打印的有盖章的社会保障资金缴纳证明材料）及人社或建设主管部门核发的证书复印件未提供或提供不全的不得分，且参与本项评分的人员与其他评分项人员不得重复，否则不得分。 注：按《关于贯彻执行《园林绿化工程建设管理规定》的通知》（闽建办风景〔2018〕11号）的规定，园林绿化专业是指园林、园林施工、园林规划设计、园林植物、风景园林、园林绿化、园艺、景观、环境艺术、市政园林等专业。（满分2分）</w:t>
            </w:r>
          </w:p>
        </w:tc>
      </w:tr>
      <w:tr w14:paraId="61507C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0AD3D910">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T14.项目的技术负责人具备的技术能力</w:t>
            </w:r>
          </w:p>
        </w:tc>
        <w:tc>
          <w:tcPr>
            <w:tcW w:w="810" w:type="dxa"/>
            <w:vAlign w:val="center"/>
          </w:tcPr>
          <w:p w14:paraId="0F4D9394">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2.00</w:t>
            </w:r>
          </w:p>
        </w:tc>
        <w:tc>
          <w:tcPr>
            <w:tcW w:w="1631" w:type="dxa"/>
            <w:vAlign w:val="center"/>
          </w:tcPr>
          <w:p w14:paraId="35EEAEDD">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3738" w:type="dxa"/>
          </w:tcPr>
          <w:p w14:paraId="6008B279">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14.根据各投标人拟投入本项目的技术负责人具备的技术能力情况进行评分：具有园林绿化相关专业高级及以上职称的得2分，满分2分。须提供投标截止时间前六个月任意一个月（不含投标截止当月）依法在投标人单位缴纳的社保证明材料（从社保窗口或从社保系统中打印的有盖章的社会保障资金缴纳证明材料）及人社或建设主管部门核发的证书复印件，未提供或提供不全的不得分，且参与本项评分的人员与其他评分项人员不得重复，否则不得分。 注：按《关于贯彻执行《园林绿化工程建设管理规定》的通知》（闽建办风景〔2018〕11号）的规定，园林绿化专业是指园林、园林施工、园林规划设计、园林植物、风景园林、园林绿化、园艺、景观、环境艺术、市政园林等专业。（满分2分）</w:t>
            </w:r>
          </w:p>
        </w:tc>
      </w:tr>
      <w:tr w14:paraId="7EA901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46EDBCB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T15.项目拟配备的植保专业技术人员</w:t>
            </w:r>
          </w:p>
        </w:tc>
        <w:tc>
          <w:tcPr>
            <w:tcW w:w="810" w:type="dxa"/>
            <w:vAlign w:val="center"/>
          </w:tcPr>
          <w:p w14:paraId="2442601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2.00</w:t>
            </w:r>
          </w:p>
        </w:tc>
        <w:tc>
          <w:tcPr>
            <w:tcW w:w="1631" w:type="dxa"/>
            <w:vAlign w:val="center"/>
          </w:tcPr>
          <w:p w14:paraId="2EAF2CE0">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3738" w:type="dxa"/>
          </w:tcPr>
          <w:p w14:paraId="33F94F82">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T15. 根据各投标人针对本项目拟配备的植保专业技术人员情况，由评委进行评分：具有植保类学历证书或人社（劳动）或建设部门核发的植保工证书，每提供一名得1分，满分2分。注：投标人须提供学历证书复印件或提供行政部门或行政部门备案的职业技能等级评价机构颁发的证书复印件（同时应附该机构在行政部门备案的查询截图）及投标截止时间前六个月（不含投标截止时间的当月）中任一月份投标人为其缴纳的社保证明(从社保窗口或从社保系统中打印的有盖章的社会保障资金缴纳证明材料)复印件，否则不得分。本项人员与其他评分项人员有重复的，本项不得分。（满分2分）</w:t>
            </w:r>
          </w:p>
        </w:tc>
      </w:tr>
      <w:tr w14:paraId="233F66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13DE391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T16. 拟配备的具有的高级及以上园林绿化专业技术工人</w:t>
            </w:r>
          </w:p>
        </w:tc>
        <w:tc>
          <w:tcPr>
            <w:tcW w:w="810" w:type="dxa"/>
            <w:vAlign w:val="center"/>
          </w:tcPr>
          <w:p w14:paraId="4D215420">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31" w:type="dxa"/>
            <w:vAlign w:val="center"/>
          </w:tcPr>
          <w:p w14:paraId="13DC250B">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3738" w:type="dxa"/>
          </w:tcPr>
          <w:p w14:paraId="2E3C9D88">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T16. 根据各投标人针对本项目拟配备的具有的高级及以上园林绿化专业技术工人（包括绿化工或花卉工或花卉园艺师）情况，由评委进行评分：提供3人的得1分，每增加1人的得1分，满分3分。注：投标人须提供行政部门或行政部门备案的职业技能等级评价机构颁发的证书复印件（同时应附该机构在行政部门备案的查询截图）及投标截止时间前六个月（不含投标截止时间的当月）中任一月份投标人为其缴纳的社保证明(从社保窗口或从社保系统中打印的有盖章的社会保障资金缴纳证明材料)复印件，未提供或提供不全的不得分。本项人员与其他评分项人员有重复的，本项不得分。（满分3分）</w:t>
            </w:r>
          </w:p>
        </w:tc>
      </w:tr>
      <w:tr w14:paraId="0A14A5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129019D2">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T17.拟配备的具有的中级及以上园林绿化专业技术工人</w:t>
            </w:r>
          </w:p>
        </w:tc>
        <w:tc>
          <w:tcPr>
            <w:tcW w:w="810" w:type="dxa"/>
            <w:vAlign w:val="center"/>
          </w:tcPr>
          <w:p w14:paraId="27979879">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31" w:type="dxa"/>
            <w:vAlign w:val="center"/>
          </w:tcPr>
          <w:p w14:paraId="10A339AD">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3738" w:type="dxa"/>
          </w:tcPr>
          <w:p w14:paraId="147EA8B9">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17.根据各投标人针对本项目拟配备的具有的中级及以上园林绿化专业技术工人（包括绿化工或花卉工或花卉园艺师）情况，由评委进行评分：提供中级及以上技术工人3人的得1分，每增加1人的得1分，满分3分。注：投标人须提供行政部门或行政部门备案的职业技能等级评价机构颁发的证书复印件（同时应附该机构在行政部门备案的查询截图）及投标截止时间前六个月（不含投标截止时间的当月）中任一月份投标人为其缴纳的社保证明(从社保窗口或从社保系统中打印的有盖章的社会保障资金缴纳证明材料)复印件，未提供或提供不全的不得分。本项人员与其他评分项人员有重复的，本项不得分。（满分3分）</w:t>
            </w:r>
          </w:p>
        </w:tc>
      </w:tr>
      <w:tr w14:paraId="3BFCF1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21B3622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T18.本项目配置洒水车情况</w:t>
            </w:r>
          </w:p>
        </w:tc>
        <w:tc>
          <w:tcPr>
            <w:tcW w:w="810" w:type="dxa"/>
            <w:vAlign w:val="center"/>
          </w:tcPr>
          <w:p w14:paraId="20DA5DA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31" w:type="dxa"/>
            <w:vAlign w:val="center"/>
          </w:tcPr>
          <w:p w14:paraId="58093125">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3738" w:type="dxa"/>
          </w:tcPr>
          <w:p w14:paraId="25D02D74">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18.根据各投标人针对本项目拟配置的的洒水车（以行驶证上的载重质量为准）情况进行评分：在响应“招标内容及要求”的基础（核定载质量≥5T洒水车1辆）上增加一辆核定载质量≥3T的洒水车的得3分，满分3分。投标人需提供有效行驶证和有效机动车登记证书复印件加盖投标人公章，未提供全的不得分。租赁车辆的还须提供租赁合同（租赁期限应能覆盖本项目的服务期限）。</w:t>
            </w:r>
          </w:p>
        </w:tc>
      </w:tr>
      <w:tr w14:paraId="32C5DA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vAlign w:val="center"/>
          </w:tcPr>
          <w:p w14:paraId="776EFC5B">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T19.配置的吊车、高空修剪车情况</w:t>
            </w:r>
          </w:p>
        </w:tc>
        <w:tc>
          <w:tcPr>
            <w:tcW w:w="810" w:type="dxa"/>
            <w:vAlign w:val="center"/>
          </w:tcPr>
          <w:p w14:paraId="6A8657B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31" w:type="dxa"/>
            <w:vAlign w:val="center"/>
          </w:tcPr>
          <w:p w14:paraId="0503D5C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3738" w:type="dxa"/>
          </w:tcPr>
          <w:p w14:paraId="73F6900D">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T19.根据各投标人针对本项目拟配置的吊车、高空修剪车情况进行评分：在响应“招标内容及要求”的基础（吊车1辆、高空修剪车1辆）上任意车辆增加一辆的得3分，满分3分。投标人需提供有效行驶证和有效机动车登记证书复印件加盖投标人公章，未提供全的不得分。租赁车辆的还须提供租赁合同（租赁期限应能覆盖本项目的服务期限）。</w:t>
            </w:r>
          </w:p>
        </w:tc>
      </w:tr>
    </w:tbl>
    <w:p w14:paraId="3DAED1C5">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商务项（F3×A3）满分为15.0000分</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34"/>
        <w:gridCol w:w="825"/>
        <w:gridCol w:w="1610"/>
        <w:gridCol w:w="3738"/>
      </w:tblGrid>
      <w:tr w14:paraId="133FF1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34" w:type="dxa"/>
          </w:tcPr>
          <w:p w14:paraId="7152F74C">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项目</w:t>
            </w:r>
          </w:p>
        </w:tc>
        <w:tc>
          <w:tcPr>
            <w:tcW w:w="825" w:type="dxa"/>
          </w:tcPr>
          <w:p w14:paraId="6DD0AB6F">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分值</w:t>
            </w:r>
          </w:p>
        </w:tc>
        <w:tc>
          <w:tcPr>
            <w:tcW w:w="1610" w:type="dxa"/>
          </w:tcPr>
          <w:p w14:paraId="125A4A17">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是否客观项</w:t>
            </w:r>
          </w:p>
        </w:tc>
        <w:tc>
          <w:tcPr>
            <w:tcW w:w="3738" w:type="dxa"/>
          </w:tcPr>
          <w:p w14:paraId="241CC413">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描述</w:t>
            </w:r>
          </w:p>
        </w:tc>
      </w:tr>
      <w:tr w14:paraId="162B07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34" w:type="dxa"/>
            <w:vAlign w:val="center"/>
          </w:tcPr>
          <w:p w14:paraId="50E314E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B1.企业服务经验</w:t>
            </w:r>
          </w:p>
        </w:tc>
        <w:tc>
          <w:tcPr>
            <w:tcW w:w="825" w:type="dxa"/>
            <w:vAlign w:val="center"/>
          </w:tcPr>
          <w:p w14:paraId="5600C1FD">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10" w:type="dxa"/>
            <w:vAlign w:val="center"/>
          </w:tcPr>
          <w:p w14:paraId="080A0538">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3738" w:type="dxa"/>
          </w:tcPr>
          <w:p w14:paraId="45E3E4A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1.根据各投标人提供的自2023年1月1日起至投标截止时间止（日期以合同签订时间为准）由投标人自身完成或正在履行的园林绿化养护同类项目的业绩情况进行评分，每提供1份完整业绩证明材料的得1分，未提供或提供不完整的不得分，满分3分。注：投标人须同时提供该业绩项目的中标（成交）公告（提供相关网站中标（成交）公告的下载网页并注明网址）、中标（成交）通知书复印件、采购合同文本复印件以及能够证明该业绩项目已经采购人验收合格的相关证明文件复印件或正在履约的由采购人出具的（月度或季度或年度考评合格及以上）相关证明材料复印件，否则不得分。（满分3分）</w:t>
            </w:r>
          </w:p>
        </w:tc>
      </w:tr>
      <w:tr w14:paraId="61865D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34" w:type="dxa"/>
            <w:vAlign w:val="center"/>
          </w:tcPr>
          <w:p w14:paraId="78B5352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B2.服务评价</w:t>
            </w:r>
          </w:p>
        </w:tc>
        <w:tc>
          <w:tcPr>
            <w:tcW w:w="825" w:type="dxa"/>
            <w:vAlign w:val="center"/>
          </w:tcPr>
          <w:p w14:paraId="6E3A82E5">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10" w:type="dxa"/>
            <w:vAlign w:val="center"/>
          </w:tcPr>
          <w:p w14:paraId="64AEABE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3738" w:type="dxa"/>
          </w:tcPr>
          <w:p w14:paraId="28C9D5B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2.根据投标人提供的自2023年1月1日起至本项目投标截止时间止（日期以合同签订时间为准），由投标人自身已完成或正在履行的园林绿化养护同类项目的用户满意度情况进行评分，用户评价意见为正面积极评价的，每提供1份完整证明的得1分，未提供或提供不完整的不得分，满分3分。注：投标人须同时提供该业绩项目的中标（成交）通知书复印件、采购合同文本复印件以及能够证明该业绩项目已经采购人验收合格的相关证明文件复印件或正在履约的由采购人出具的（月度或季度或年度考评合格及以上）相关证明材料复印件，否则不得分。（与B1为同一项目的，重复不得分）（满分3分）</w:t>
            </w:r>
          </w:p>
        </w:tc>
      </w:tr>
      <w:tr w14:paraId="70116D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34" w:type="dxa"/>
            <w:vAlign w:val="center"/>
          </w:tcPr>
          <w:p w14:paraId="66EB4DE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B3.保险情况</w:t>
            </w:r>
          </w:p>
        </w:tc>
        <w:tc>
          <w:tcPr>
            <w:tcW w:w="825" w:type="dxa"/>
            <w:vAlign w:val="center"/>
          </w:tcPr>
          <w:p w14:paraId="36562179">
            <w:pPr>
              <w:pStyle w:val="6"/>
              <w:jc w:val="center"/>
              <w:rPr>
                <w:color w:val="000000" w:themeColor="text1"/>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2</w:t>
            </w:r>
            <w:r>
              <w:rPr>
                <w:rFonts w:ascii="仿宋_GB2312" w:hAnsi="仿宋_GB2312" w:eastAsia="仿宋_GB2312" w:cs="仿宋_GB2312"/>
                <w:color w:val="000000" w:themeColor="text1"/>
                <w14:textFill>
                  <w14:solidFill>
                    <w14:schemeClr w14:val="tx1"/>
                  </w14:solidFill>
                </w14:textFill>
              </w:rPr>
              <w:t>.00</w:t>
            </w:r>
          </w:p>
        </w:tc>
        <w:tc>
          <w:tcPr>
            <w:tcW w:w="1610" w:type="dxa"/>
            <w:vAlign w:val="center"/>
          </w:tcPr>
          <w:p w14:paraId="07E06895">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3738" w:type="dxa"/>
          </w:tcPr>
          <w:p w14:paraId="7583CD7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B3.根据各投标人承诺中标后为拟投入本项目的所有服务人员购买的有效期内的保险情况（团体险或雇主责任险），由评委进行评分：承诺中标后购买所有服务人员死亡伤残赔付限额≥100万元的得</w:t>
            </w:r>
            <w:r>
              <w:rPr>
                <w:rFonts w:hint="eastAsia" w:ascii="仿宋_GB2312" w:hAnsi="仿宋_GB2312" w:eastAsia="仿宋_GB2312" w:cs="仿宋_GB2312"/>
                <w:color w:val="000000" w:themeColor="text1"/>
                <w:lang w:val="en-US" w:eastAsia="zh-CN"/>
                <w14:textFill>
                  <w14:solidFill>
                    <w14:schemeClr w14:val="tx1"/>
                  </w14:solidFill>
                </w14:textFill>
              </w:rPr>
              <w:t>2</w:t>
            </w:r>
            <w:r>
              <w:rPr>
                <w:rFonts w:ascii="仿宋_GB2312" w:hAnsi="仿宋_GB2312" w:eastAsia="仿宋_GB2312" w:cs="仿宋_GB2312"/>
                <w:color w:val="000000" w:themeColor="text1"/>
                <w14:textFill>
                  <w14:solidFill>
                    <w14:schemeClr w14:val="tx1"/>
                  </w14:solidFill>
                </w14:textFill>
              </w:rPr>
              <w:t>分，其余不得分。注: 投标人须提供承诺函（格式自拟），且承诺保险期限至少涵盖本项目服务期，否则不得分。（满分</w:t>
            </w:r>
            <w:r>
              <w:rPr>
                <w:rFonts w:hint="eastAsia" w:ascii="仿宋_GB2312" w:hAnsi="仿宋_GB2312" w:eastAsia="仿宋_GB2312" w:cs="仿宋_GB2312"/>
                <w:color w:val="000000" w:themeColor="text1"/>
                <w:lang w:val="en-US" w:eastAsia="zh-CN"/>
                <w14:textFill>
                  <w14:solidFill>
                    <w14:schemeClr w14:val="tx1"/>
                  </w14:solidFill>
                </w14:textFill>
              </w:rPr>
              <w:t>2</w:t>
            </w:r>
            <w:r>
              <w:rPr>
                <w:rFonts w:ascii="仿宋_GB2312" w:hAnsi="仿宋_GB2312" w:eastAsia="仿宋_GB2312" w:cs="仿宋_GB2312"/>
                <w:color w:val="000000" w:themeColor="text1"/>
                <w14:textFill>
                  <w14:solidFill>
                    <w14:schemeClr w14:val="tx1"/>
                  </w14:solidFill>
                </w14:textFill>
              </w:rPr>
              <w:t>分）</w:t>
            </w:r>
          </w:p>
        </w:tc>
      </w:tr>
      <w:tr w14:paraId="2DD749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34" w:type="dxa"/>
            <w:vAlign w:val="center"/>
          </w:tcPr>
          <w:p w14:paraId="3AC9D72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B4.不可抗力事件的紧急响应情况</w:t>
            </w:r>
          </w:p>
        </w:tc>
        <w:tc>
          <w:tcPr>
            <w:tcW w:w="825" w:type="dxa"/>
            <w:vAlign w:val="center"/>
          </w:tcPr>
          <w:p w14:paraId="2D30FCD8">
            <w:pPr>
              <w:pStyle w:val="6"/>
              <w:jc w:val="center"/>
              <w:rPr>
                <w:color w:val="000000" w:themeColor="text1"/>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2</w:t>
            </w:r>
            <w:r>
              <w:rPr>
                <w:rFonts w:ascii="仿宋_GB2312" w:hAnsi="仿宋_GB2312" w:eastAsia="仿宋_GB2312" w:cs="仿宋_GB2312"/>
                <w:color w:val="000000" w:themeColor="text1"/>
                <w14:textFill>
                  <w14:solidFill>
                    <w14:schemeClr w14:val="tx1"/>
                  </w14:solidFill>
                </w14:textFill>
              </w:rPr>
              <w:t>.00</w:t>
            </w:r>
          </w:p>
        </w:tc>
        <w:tc>
          <w:tcPr>
            <w:tcW w:w="1610" w:type="dxa"/>
            <w:vAlign w:val="center"/>
          </w:tcPr>
          <w:p w14:paraId="52168630">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3738" w:type="dxa"/>
          </w:tcPr>
          <w:p w14:paraId="47BEFEA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B4.根据各投标人针对突发任务及因发生不可抗力事件的紧急响应承诺情况，由评委进行评分：投标人根据采购人要求所提供的人员及机械设备的响应时间≤2小时的得</w:t>
            </w:r>
            <w:r>
              <w:rPr>
                <w:rFonts w:hint="eastAsia" w:ascii="仿宋_GB2312" w:hAnsi="仿宋_GB2312" w:eastAsia="仿宋_GB2312" w:cs="仿宋_GB2312"/>
                <w:color w:val="000000" w:themeColor="text1"/>
                <w:lang w:val="en-US" w:eastAsia="zh-CN"/>
                <w14:textFill>
                  <w14:solidFill>
                    <w14:schemeClr w14:val="tx1"/>
                  </w14:solidFill>
                </w14:textFill>
              </w:rPr>
              <w:t>2</w:t>
            </w:r>
            <w:r>
              <w:rPr>
                <w:rFonts w:ascii="仿宋_GB2312" w:hAnsi="仿宋_GB2312" w:eastAsia="仿宋_GB2312" w:cs="仿宋_GB2312"/>
                <w:color w:val="000000" w:themeColor="text1"/>
                <w14:textFill>
                  <w14:solidFill>
                    <w14:schemeClr w14:val="tx1"/>
                  </w14:solidFill>
                </w14:textFill>
              </w:rPr>
              <w:t>分。注：须提供承诺函（格式自拟），否则不得分。（满分</w:t>
            </w:r>
            <w:r>
              <w:rPr>
                <w:rFonts w:hint="eastAsia" w:ascii="仿宋_GB2312" w:hAnsi="仿宋_GB2312" w:eastAsia="仿宋_GB2312" w:cs="仿宋_GB2312"/>
                <w:color w:val="000000" w:themeColor="text1"/>
                <w:lang w:val="en-US" w:eastAsia="zh-CN"/>
                <w14:textFill>
                  <w14:solidFill>
                    <w14:schemeClr w14:val="tx1"/>
                  </w14:solidFill>
                </w14:textFill>
              </w:rPr>
              <w:t>2</w:t>
            </w:r>
            <w:r>
              <w:rPr>
                <w:rFonts w:ascii="仿宋_GB2312" w:hAnsi="仿宋_GB2312" w:eastAsia="仿宋_GB2312" w:cs="仿宋_GB2312"/>
                <w:color w:val="000000" w:themeColor="text1"/>
                <w14:textFill>
                  <w14:solidFill>
                    <w14:schemeClr w14:val="tx1"/>
                  </w14:solidFill>
                </w14:textFill>
              </w:rPr>
              <w:t>分）</w:t>
            </w:r>
          </w:p>
        </w:tc>
      </w:tr>
      <w:tr w14:paraId="2ED99C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34" w:type="dxa"/>
            <w:vAlign w:val="center"/>
          </w:tcPr>
          <w:p w14:paraId="6167AA84">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B5.规定时间内进场情况</w:t>
            </w:r>
          </w:p>
        </w:tc>
        <w:tc>
          <w:tcPr>
            <w:tcW w:w="825" w:type="dxa"/>
            <w:vAlign w:val="center"/>
          </w:tcPr>
          <w:p w14:paraId="474BCC6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3.00</w:t>
            </w:r>
          </w:p>
        </w:tc>
        <w:tc>
          <w:tcPr>
            <w:tcW w:w="1610" w:type="dxa"/>
            <w:vAlign w:val="center"/>
          </w:tcPr>
          <w:p w14:paraId="2CAC2E3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3738" w:type="dxa"/>
          </w:tcPr>
          <w:p w14:paraId="138B5DF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B5. 投标人承诺中标后，应严格按采购人要求在规定时间内进场并顺利完成交接工作的得3分。须提供承诺函（格式自拟），否则不得分。（满分3分）</w:t>
            </w:r>
          </w:p>
        </w:tc>
      </w:tr>
      <w:tr w14:paraId="358B9F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34" w:type="dxa"/>
            <w:vAlign w:val="center"/>
          </w:tcPr>
          <w:p w14:paraId="5513A889">
            <w:pPr>
              <w:pStyle w:val="6"/>
              <w:jc w:val="center"/>
              <w:rPr>
                <w:rFonts w:hint="default"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B6.公众责任险</w:t>
            </w:r>
          </w:p>
        </w:tc>
        <w:tc>
          <w:tcPr>
            <w:tcW w:w="825" w:type="dxa"/>
            <w:vAlign w:val="center"/>
          </w:tcPr>
          <w:p w14:paraId="28D77855">
            <w:pPr>
              <w:pStyle w:val="6"/>
              <w:jc w:val="center"/>
              <w:rPr>
                <w:rFonts w:hint="default"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2.00</w:t>
            </w:r>
          </w:p>
        </w:tc>
        <w:tc>
          <w:tcPr>
            <w:tcW w:w="1610" w:type="dxa"/>
            <w:vAlign w:val="center"/>
          </w:tcPr>
          <w:p w14:paraId="75328C0D">
            <w:pPr>
              <w:pStyle w:val="6"/>
              <w:jc w:val="center"/>
              <w:rPr>
                <w:rFonts w:ascii="仿宋_GB2312" w:hAnsi="仿宋_GB2312" w:eastAsia="仿宋_GB2312" w:cs="仿宋_GB2312"/>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3738" w:type="dxa"/>
          </w:tcPr>
          <w:p w14:paraId="61EAEAFB">
            <w:pPr>
              <w:pStyle w:val="6"/>
              <w:jc w:val="left"/>
              <w:rPr>
                <w:rFonts w:hint="default" w:ascii="仿宋_GB2312" w:hAnsi="仿宋_GB2312" w:eastAsia="宋体"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B6.</w:t>
            </w:r>
            <w:r>
              <w:rPr>
                <w:rFonts w:ascii="仿宋_GB2312" w:hAnsi="仿宋_GB2312" w:eastAsia="仿宋_GB2312" w:cs="仿宋_GB2312"/>
                <w:color w:val="000000" w:themeColor="text1"/>
                <w14:textFill>
                  <w14:solidFill>
                    <w14:schemeClr w14:val="tx1"/>
                  </w14:solidFill>
                </w14:textFill>
              </w:rPr>
              <w:t>根据各投标人承诺中标后为拟投入本项目</w:t>
            </w:r>
            <w:r>
              <w:rPr>
                <w:rFonts w:hint="eastAsia" w:ascii="仿宋_GB2312" w:hAnsi="仿宋_GB2312" w:eastAsia="仿宋_GB2312" w:cs="仿宋_GB2312"/>
                <w:color w:val="000000" w:themeColor="text1"/>
                <w:lang w:val="en-US" w:eastAsia="zh-CN"/>
                <w14:textFill>
                  <w14:solidFill>
                    <w14:schemeClr w14:val="tx1"/>
                  </w14:solidFill>
                </w14:textFill>
              </w:rPr>
              <w:t>购买的公众责任险，</w:t>
            </w:r>
            <w:r>
              <w:rPr>
                <w:rFonts w:ascii="仿宋_GB2312" w:hAnsi="仿宋_GB2312" w:eastAsia="仿宋_GB2312" w:cs="仿宋_GB2312"/>
                <w:color w:val="000000" w:themeColor="text1"/>
                <w14:textFill>
                  <w14:solidFill>
                    <w14:schemeClr w14:val="tx1"/>
                  </w14:solidFill>
                </w14:textFill>
              </w:rPr>
              <w:t>保险覆盖项目养护红线范围内，因树木倒伏、断枝坠落（含暴风、暴雨等自然灾害引发）造成第三者（游客）人身伤亡的赔偿责任</w:t>
            </w:r>
            <w:r>
              <w:rPr>
                <w:rFonts w:hint="eastAsia" w:ascii="仿宋_GB2312" w:hAnsi="仿宋_GB2312" w:eastAsia="仿宋_GB2312" w:cs="仿宋_GB2312"/>
                <w:color w:val="000000" w:themeColor="text1"/>
                <w:lang w:eastAsia="zh-CN"/>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8</w:t>
            </w:r>
            <w:r>
              <w:rPr>
                <w:rFonts w:ascii="仿宋_GB2312" w:hAnsi="仿宋_GB2312" w:eastAsia="仿宋_GB2312" w:cs="仿宋_GB2312"/>
                <w:color w:val="000000" w:themeColor="text1"/>
                <w14:textFill>
                  <w14:solidFill>
                    <w14:schemeClr w14:val="tx1"/>
                  </w14:solidFill>
                </w14:textFill>
              </w:rPr>
              <w:t>0 万元</w:t>
            </w:r>
            <w:r>
              <w:rPr>
                <w:rFonts w:hint="eastAsia" w:ascii="仿宋_GB2312" w:hAnsi="仿宋_GB2312" w:eastAsia="仿宋_GB2312" w:cs="仿宋_GB2312"/>
                <w:color w:val="000000" w:themeColor="text1"/>
                <w:lang w:eastAsia="zh-CN"/>
                <w14:textFill>
                  <w14:solidFill>
                    <w14:schemeClr w14:val="tx1"/>
                  </w14:solidFill>
                </w14:textFill>
              </w:rPr>
              <w:t>&gt;</w:t>
            </w:r>
            <w:r>
              <w:rPr>
                <w:rFonts w:ascii="仿宋_GB2312" w:hAnsi="仿宋_GB2312" w:eastAsia="仿宋_GB2312" w:cs="仿宋_GB2312"/>
                <w:color w:val="000000" w:themeColor="text1"/>
                <w14:textFill>
                  <w14:solidFill>
                    <w14:schemeClr w14:val="tx1"/>
                  </w14:solidFill>
                </w14:textFill>
              </w:rPr>
              <w:t>每人每次事故人身伤亡赔偿限额≥50 万元</w:t>
            </w:r>
            <w:r>
              <w:rPr>
                <w:rFonts w:hint="eastAsia" w:ascii="仿宋_GB2312" w:hAnsi="仿宋_GB2312" w:eastAsia="仿宋_GB2312" w:cs="仿宋_GB2312"/>
                <w:color w:val="000000" w:themeColor="text1"/>
                <w:lang w:val="en-US" w:eastAsia="zh-CN"/>
                <w14:textFill>
                  <w14:solidFill>
                    <w14:schemeClr w14:val="tx1"/>
                  </w14:solidFill>
                </w14:textFill>
              </w:rPr>
              <w:t>的得1分；100</w:t>
            </w:r>
            <w:r>
              <w:rPr>
                <w:rFonts w:ascii="仿宋_GB2312" w:hAnsi="仿宋_GB2312" w:eastAsia="仿宋_GB2312" w:cs="仿宋_GB2312"/>
                <w:color w:val="000000" w:themeColor="text1"/>
                <w14:textFill>
                  <w14:solidFill>
                    <w14:schemeClr w14:val="tx1"/>
                  </w14:solidFill>
                </w14:textFill>
              </w:rPr>
              <w:t xml:space="preserve"> 万元</w:t>
            </w:r>
            <w:r>
              <w:rPr>
                <w:rFonts w:hint="eastAsia" w:ascii="仿宋_GB2312" w:hAnsi="仿宋_GB2312" w:eastAsia="仿宋_GB2312" w:cs="仿宋_GB2312"/>
                <w:color w:val="000000" w:themeColor="text1"/>
                <w:lang w:eastAsia="zh-CN"/>
                <w14:textFill>
                  <w14:solidFill>
                    <w14:schemeClr w14:val="tx1"/>
                  </w14:solidFill>
                </w14:textFill>
              </w:rPr>
              <w:t>&gt;</w:t>
            </w:r>
            <w:r>
              <w:rPr>
                <w:rFonts w:ascii="仿宋_GB2312" w:hAnsi="仿宋_GB2312" w:eastAsia="仿宋_GB2312" w:cs="仿宋_GB2312"/>
                <w:color w:val="000000" w:themeColor="text1"/>
                <w14:textFill>
                  <w14:solidFill>
                    <w14:schemeClr w14:val="tx1"/>
                  </w14:solidFill>
                </w14:textFill>
              </w:rPr>
              <w:t>每人每次事故人身伤亡赔偿限额≥</w:t>
            </w:r>
            <w:r>
              <w:rPr>
                <w:rFonts w:hint="eastAsia" w:ascii="仿宋_GB2312" w:hAnsi="仿宋_GB2312" w:eastAsia="仿宋_GB2312" w:cs="仿宋_GB2312"/>
                <w:color w:val="000000" w:themeColor="text1"/>
                <w:lang w:val="en-US" w:eastAsia="zh-CN"/>
                <w14:textFill>
                  <w14:solidFill>
                    <w14:schemeClr w14:val="tx1"/>
                  </w14:solidFill>
                </w14:textFill>
              </w:rPr>
              <w:t>80</w:t>
            </w:r>
            <w:r>
              <w:rPr>
                <w:rFonts w:ascii="仿宋_GB2312" w:hAnsi="仿宋_GB2312" w:eastAsia="仿宋_GB2312" w:cs="仿宋_GB2312"/>
                <w:color w:val="000000" w:themeColor="text1"/>
                <w14:textFill>
                  <w14:solidFill>
                    <w14:schemeClr w14:val="tx1"/>
                  </w14:solidFill>
                </w14:textFill>
              </w:rPr>
              <w:t>万元</w:t>
            </w:r>
            <w:r>
              <w:rPr>
                <w:rFonts w:hint="eastAsia" w:ascii="仿宋_GB2312" w:hAnsi="仿宋_GB2312" w:eastAsia="仿宋_GB2312" w:cs="仿宋_GB2312"/>
                <w:color w:val="000000" w:themeColor="text1"/>
                <w:lang w:val="en-US" w:eastAsia="zh-CN"/>
                <w14:textFill>
                  <w14:solidFill>
                    <w14:schemeClr w14:val="tx1"/>
                  </w14:solidFill>
                </w14:textFill>
              </w:rPr>
              <w:t>的得1.5分；</w:t>
            </w:r>
            <w:r>
              <w:rPr>
                <w:rFonts w:ascii="仿宋_GB2312" w:hAnsi="仿宋_GB2312" w:eastAsia="仿宋_GB2312" w:cs="仿宋_GB2312"/>
                <w:color w:val="000000" w:themeColor="text1"/>
                <w14:textFill>
                  <w14:solidFill>
                    <w14:schemeClr w14:val="tx1"/>
                  </w14:solidFill>
                </w14:textFill>
              </w:rPr>
              <w:t>每人每次事故人身伤亡赔偿限额≥100 万元</w:t>
            </w:r>
            <w:r>
              <w:rPr>
                <w:rFonts w:hint="eastAsia" w:ascii="仿宋_GB2312" w:hAnsi="仿宋_GB2312" w:eastAsia="仿宋_GB2312" w:cs="仿宋_GB2312"/>
                <w:color w:val="000000" w:themeColor="text1"/>
                <w:lang w:val="en-US" w:eastAsia="zh-CN"/>
                <w14:textFill>
                  <w14:solidFill>
                    <w14:schemeClr w14:val="tx1"/>
                  </w14:solidFill>
                </w14:textFill>
              </w:rPr>
              <w:t>的得2分。</w:t>
            </w:r>
            <w:r>
              <w:rPr>
                <w:rFonts w:ascii="仿宋_GB2312" w:hAnsi="仿宋_GB2312" w:eastAsia="仿宋_GB2312" w:cs="仿宋_GB2312"/>
                <w:color w:val="000000" w:themeColor="text1"/>
                <w14:textFill>
                  <w14:solidFill>
                    <w14:schemeClr w14:val="tx1"/>
                  </w14:solidFill>
                </w14:textFill>
              </w:rPr>
              <w:t>须提供承诺函（格式自拟），且承诺保险期限至少涵盖本项目服务期，否则不得分。（满分</w:t>
            </w:r>
            <w:r>
              <w:rPr>
                <w:rFonts w:hint="eastAsia" w:ascii="仿宋_GB2312" w:hAnsi="仿宋_GB2312" w:eastAsia="仿宋_GB2312" w:cs="仿宋_GB2312"/>
                <w:color w:val="000000" w:themeColor="text1"/>
                <w:lang w:val="en-US" w:eastAsia="zh-CN"/>
                <w14:textFill>
                  <w14:solidFill>
                    <w14:schemeClr w14:val="tx1"/>
                  </w14:solidFill>
                </w14:textFill>
              </w:rPr>
              <w:t>2</w:t>
            </w:r>
            <w:r>
              <w:rPr>
                <w:rFonts w:ascii="仿宋_GB2312" w:hAnsi="仿宋_GB2312" w:eastAsia="仿宋_GB2312" w:cs="仿宋_GB2312"/>
                <w:color w:val="000000" w:themeColor="text1"/>
                <w14:textFill>
                  <w14:solidFill>
                    <w14:schemeClr w14:val="tx1"/>
                  </w14:solidFill>
                </w14:textFill>
              </w:rPr>
              <w:t>分）</w:t>
            </w:r>
          </w:p>
        </w:tc>
      </w:tr>
    </w:tbl>
    <w:p w14:paraId="29F2B051">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异常低价审查</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28"/>
        <w:gridCol w:w="6178"/>
      </w:tblGrid>
      <w:tr w14:paraId="312C0F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128" w:type="dxa"/>
          </w:tcPr>
          <w:p w14:paraId="3432FA2D">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项目</w:t>
            </w:r>
          </w:p>
        </w:tc>
        <w:tc>
          <w:tcPr>
            <w:tcW w:w="6178" w:type="dxa"/>
          </w:tcPr>
          <w:p w14:paraId="1DAE31F7">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描述</w:t>
            </w:r>
          </w:p>
        </w:tc>
      </w:tr>
      <w:tr w14:paraId="52B727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8" w:type="dxa"/>
          </w:tcPr>
          <w:p w14:paraId="0FE4396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异常低价审查</w:t>
            </w:r>
          </w:p>
        </w:tc>
        <w:tc>
          <w:tcPr>
            <w:tcW w:w="6178" w:type="dxa"/>
          </w:tcPr>
          <w:p w14:paraId="3E554EC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根据《关于推动解决政府采购异常低价问题的通知》（财库〔2026〕2号）等相关规定，政府采购评审中出现下列情形之一的，评审委员会应当启动异常低价投标（响应）审查程序： （1）2027-2029年乌龙江公园淮安大桥至湾边大桥段（不含沙滩公园）绿化养护服务项目响应报价低于全部通过符合性审查供应商响应报价平均值50%的，即2027-2029年乌龙江公园淮安大桥至湾边大桥段（不含沙滩公园）绿化养护服务项目响应报价&lt;全部通过符合性审查供应商响应报价平均值×50%。 （2）2027-2029年乌龙江公园淮安大桥至湾边大桥段（不含沙滩公园）绿化养护服务项目响应报价低于通过符合性审查且报价次低供应商响应报价50%的，即2027-2029年乌龙江公园淮安大桥至湾边大桥段（不含沙滩公园）绿化养护服务项目响应报价&lt;通过符合性审查且报价次低供应商响应报价×50%。 （3）2027-2029年乌龙江公园淮安大桥至湾边大桥段（不含沙滩公园）绿化养护服务项目响应报价低于最高限价</w:t>
            </w:r>
            <w:r>
              <w:rPr>
                <w:rFonts w:hint="eastAsia" w:ascii="仿宋_GB2312" w:hAnsi="仿宋_GB2312" w:eastAsia="仿宋_GB2312" w:cs="仿宋_GB2312"/>
                <w:color w:val="000000" w:themeColor="text1"/>
                <w:lang w:val="en-US" w:eastAsia="zh-CN"/>
                <w14:textFill>
                  <w14:solidFill>
                    <w14:schemeClr w14:val="tx1"/>
                  </w14:solidFill>
                </w14:textFill>
              </w:rPr>
              <w:t>65</w:t>
            </w:r>
            <w:r>
              <w:rPr>
                <w:rFonts w:ascii="仿宋_GB2312" w:hAnsi="仿宋_GB2312" w:eastAsia="仿宋_GB2312" w:cs="仿宋_GB2312"/>
                <w:color w:val="000000" w:themeColor="text1"/>
                <w14:textFill>
                  <w14:solidFill>
                    <w14:schemeClr w14:val="tx1"/>
                  </w14:solidFill>
                </w14:textFill>
              </w:rPr>
              <w:t>%的，即2027-2029年乌龙江公园淮安大桥至湾边大桥段（不含沙滩公园）绿化养护服务项目响应报价&lt;最高限价×</w:t>
            </w:r>
            <w:r>
              <w:rPr>
                <w:rFonts w:hint="eastAsia" w:ascii="仿宋_GB2312" w:hAnsi="仿宋_GB2312" w:eastAsia="仿宋_GB2312" w:cs="仿宋_GB2312"/>
                <w:color w:val="000000" w:themeColor="text1"/>
                <w:lang w:val="en-US" w:eastAsia="zh-CN"/>
                <w14:textFill>
                  <w14:solidFill>
                    <w14:schemeClr w14:val="tx1"/>
                  </w14:solidFill>
                </w14:textFill>
              </w:rPr>
              <w:t>65</w:t>
            </w:r>
            <w:r>
              <w:rPr>
                <w:rFonts w:ascii="仿宋_GB2312" w:hAnsi="仿宋_GB2312" w:eastAsia="仿宋_GB2312" w:cs="仿宋_GB2312"/>
                <w:color w:val="000000" w:themeColor="text1"/>
                <w14:textFill>
                  <w14:solidFill>
                    <w14:schemeClr w14:val="tx1"/>
                  </w14:solidFill>
                </w14:textFill>
              </w:rPr>
              <w:t>%。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2FE54250">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EFD4858">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73D6BC6">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EB9C46C">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异常低价投标（响应）审查的启动原因、审查意见和审查结果应当在评审报告中记录，并随供应商提供的相关书面说明及证明材料，以及评审委员会有关互联网浏览、查询历史一并归档。</w:t>
      </w:r>
    </w:p>
    <w:p w14:paraId="14F29BB9">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※除本章第6.3条第（3）款规定情形和落实政府采购政策需进行的价格扣除情形外，不能对投标人的投标报价进行任何调整。</w:t>
      </w:r>
    </w:p>
    <w:p w14:paraId="38923D89">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（3）中标候选人排列规则顺序如下：</w:t>
      </w:r>
    </w:p>
    <w:p w14:paraId="5C3796FD">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a.按照评标总得分（FA）由高到低顺序排列。</w:t>
      </w:r>
    </w:p>
    <w:p w14:paraId="295560A7">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b.评标总得分（FA）相同的，按照评标价（即价格扣除后的投标报价）由低到高顺序排列。</w:t>
      </w:r>
    </w:p>
    <w:p w14:paraId="2F287BA8">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c.评标总得分（FA）且评标价（即价格扣除后的投标报价）相同的并列。</w:t>
      </w:r>
    </w:p>
    <w:p w14:paraId="49658875">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8、其他规定</w:t>
      </w:r>
    </w:p>
    <w:p w14:paraId="3F576711">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8.1评标应全程保密且不得透露给任一投标人或与评标工作无关的人员。</w:t>
      </w:r>
    </w:p>
    <w:p w14:paraId="3547B25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8.2评标将进行全程实时录音录像，录音录像资料随采购文件一并存档。</w:t>
      </w:r>
    </w:p>
    <w:p w14:paraId="3A2AEE7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8.3若投标人有任何试图干扰具体评标事务，影响评标委员会独立履行职责的行为，其投标无效且不予退还投标保证金或通过投标保函进行索赔。情节严重的，由财政部门列入不良行为记录。</w:t>
      </w:r>
    </w:p>
    <w:p w14:paraId="160172B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8.4其他：</w:t>
      </w:r>
    </w:p>
    <w:p w14:paraId="5C6F5C6D">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p w14:paraId="10F15AF8">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1B8D5C2D">
      <w:pPr>
        <w:pStyle w:val="6"/>
        <w:jc w:val="center"/>
        <w:outlineLvl w:val="1"/>
        <w:rPr>
          <w:color w:val="000000" w:themeColor="text1"/>
          <w14:textFill>
            <w14:solidFill>
              <w14:schemeClr w14:val="tx1"/>
            </w14:solidFill>
          </w14:textFill>
        </w:rPr>
      </w:pPr>
      <w:r>
        <w:rPr>
          <w:rFonts w:ascii="仿宋_GB2312" w:hAnsi="仿宋_GB2312" w:eastAsia="仿宋_GB2312" w:cs="仿宋_GB2312"/>
          <w:b/>
          <w:color w:val="000000" w:themeColor="text1"/>
          <w:sz w:val="36"/>
          <w14:textFill>
            <w14:solidFill>
              <w14:schemeClr w14:val="tx1"/>
            </w14:solidFill>
          </w14:textFill>
        </w:rPr>
        <w:t>第五章 招标内容及要求</w:t>
      </w:r>
    </w:p>
    <w:p w14:paraId="0F4BB56D">
      <w:pPr>
        <w:pStyle w:val="6"/>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一、项目概况（采购标的）</w:t>
      </w:r>
    </w:p>
    <w:p w14:paraId="71A25D78">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1.项目名称：2027-2029年乌龙江公园淮安大桥至湾边大桥段（不含沙滩公园）绿化养护服务项目；</w:t>
      </w:r>
    </w:p>
    <w:p w14:paraId="7A4F65BF">
      <w:pPr>
        <w:pStyle w:val="6"/>
        <w:ind w:firstLine="482"/>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2.养护地点：福州市乌龙江公园淮安大桥至湾边大桥段（不含沙滩公园）；</w:t>
      </w:r>
    </w:p>
    <w:p w14:paraId="700FB9C8">
      <w:pPr>
        <w:pStyle w:val="6"/>
        <w:ind w:firstLine="482"/>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3.养护面积：绿地总面积550411.9平方米，其中含原生绿地（芦苇荡）167869平方米、乌龙江湿地公园主入口广场、办公楼、停车场周边绿地；部分绿地毗邻城市道路，需借用城市道路进行养护。公园主要开花植物有美丽异木棉、蓝花楹、黄花风铃木、碧桃、三角梅、小叶紫薇等；需要特殊绿化养护的植物有茉莉花、福桔、水杉</w:t>
      </w:r>
      <w:r>
        <w:rPr>
          <w:rFonts w:hint="eastAsia" w:ascii="仿宋_GB2312" w:hAnsi="仿宋_GB2312" w:eastAsia="仿宋_GB2312" w:cs="仿宋_GB2312"/>
          <w:color w:val="000000" w:themeColor="text1"/>
          <w:sz w:val="20"/>
          <w:lang w:eastAsia="zh-CN"/>
          <w14:textFill>
            <w14:solidFill>
              <w14:schemeClr w14:val="tx1"/>
            </w14:solidFill>
          </w14:textFill>
        </w:rPr>
        <w:t>、粉黛乱子草</w:t>
      </w:r>
      <w:r>
        <w:rPr>
          <w:rFonts w:ascii="仿宋_GB2312" w:hAnsi="仿宋_GB2312" w:eastAsia="仿宋_GB2312" w:cs="仿宋_GB2312"/>
          <w:color w:val="000000" w:themeColor="text1"/>
          <w:sz w:val="20"/>
          <w14:textFill>
            <w14:solidFill>
              <w14:schemeClr w14:val="tx1"/>
            </w14:solidFill>
          </w14:textFill>
        </w:rPr>
        <w:t>。</w:t>
      </w:r>
    </w:p>
    <w:p w14:paraId="07039446">
      <w:pPr>
        <w:pStyle w:val="6"/>
        <w:ind w:firstLine="482"/>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4.服务期限：36个月（起止时间为2027年1月1日至2029年12月31日）。</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276"/>
        <w:gridCol w:w="911"/>
        <w:gridCol w:w="1107"/>
        <w:gridCol w:w="2095"/>
        <w:gridCol w:w="1593"/>
        <w:gridCol w:w="1321"/>
      </w:tblGrid>
      <w:tr w14:paraId="558341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15" w:type="dxa"/>
              <w:right w:w="15" w:type="dxa"/>
            </w:tcMar>
            <w:vAlign w:val="top"/>
          </w:tcPr>
          <w:p w14:paraId="61AE8A2F">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项目名称</w:t>
            </w:r>
          </w:p>
        </w:tc>
        <w:tc>
          <w:tcPr>
            <w:tcW w:w="911" w:type="dxa"/>
            <w:vMerge w:val="restart"/>
            <w:tcBorders>
              <w:top w:val="single" w:color="000000" w:sz="4" w:space="0"/>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252F3FF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标段</w:t>
            </w:r>
          </w:p>
        </w:tc>
        <w:tc>
          <w:tcPr>
            <w:tcW w:w="1107" w:type="dxa"/>
            <w:vMerge w:val="restart"/>
            <w:tcBorders>
              <w:top w:val="single" w:color="000000" w:sz="4" w:space="0"/>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4AC69A4B">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绿地总面积（㎡）</w:t>
            </w:r>
          </w:p>
        </w:tc>
        <w:tc>
          <w:tcPr>
            <w:tcW w:w="3688" w:type="dxa"/>
            <w:gridSpan w:val="2"/>
            <w:tcBorders>
              <w:top w:val="single" w:color="000000" w:sz="4" w:space="0"/>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0E18AE19">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其中包含</w:t>
            </w:r>
          </w:p>
        </w:tc>
        <w:tc>
          <w:tcPr>
            <w:tcW w:w="1321" w:type="dxa"/>
            <w:tcBorders>
              <w:top w:val="single" w:color="000000" w:sz="4" w:space="0"/>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23FF4F4A">
            <w:pPr>
              <w:pStyle w:val="6"/>
              <w:jc w:val="center"/>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备注</w:t>
            </w:r>
          </w:p>
        </w:tc>
      </w:tr>
      <w:tr w14:paraId="121EFB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6" w:type="dxa"/>
            <w:vMerge w:val="continue"/>
            <w:tcBorders>
              <w:top w:val="single" w:color="000000" w:sz="4" w:space="0"/>
              <w:left w:val="single" w:color="000000" w:sz="4" w:space="0"/>
              <w:bottom w:val="single" w:color="000000" w:sz="4" w:space="0"/>
              <w:right w:val="single" w:color="000000" w:sz="4" w:space="0"/>
            </w:tcBorders>
          </w:tcPr>
          <w:p w14:paraId="0CAF7B41">
            <w:pPr>
              <w:rPr>
                <w:color w:val="000000" w:themeColor="text1"/>
                <w14:textFill>
                  <w14:solidFill>
                    <w14:schemeClr w14:val="tx1"/>
                  </w14:solidFill>
                </w14:textFill>
              </w:rPr>
            </w:pPr>
          </w:p>
        </w:tc>
        <w:tc>
          <w:tcPr>
            <w:tcW w:w="911" w:type="dxa"/>
            <w:vMerge w:val="continue"/>
            <w:tcBorders>
              <w:top w:val="single" w:color="000000" w:sz="4" w:space="0"/>
              <w:left w:val="nil"/>
              <w:bottom w:val="single" w:color="000000" w:sz="4" w:space="0"/>
              <w:right w:val="single" w:color="000000" w:sz="4" w:space="0"/>
            </w:tcBorders>
          </w:tcPr>
          <w:p w14:paraId="6BCC4FF7">
            <w:pPr>
              <w:rPr>
                <w:color w:val="000000" w:themeColor="text1"/>
                <w14:textFill>
                  <w14:solidFill>
                    <w14:schemeClr w14:val="tx1"/>
                  </w14:solidFill>
                </w14:textFill>
              </w:rPr>
            </w:pPr>
          </w:p>
        </w:tc>
        <w:tc>
          <w:tcPr>
            <w:tcW w:w="1107" w:type="dxa"/>
            <w:vMerge w:val="continue"/>
            <w:tcBorders>
              <w:top w:val="single" w:color="000000" w:sz="4" w:space="0"/>
              <w:left w:val="nil"/>
              <w:bottom w:val="single" w:color="000000" w:sz="4" w:space="0"/>
              <w:right w:val="single" w:color="000000" w:sz="4" w:space="0"/>
            </w:tcBorders>
          </w:tcPr>
          <w:p w14:paraId="0C409C23">
            <w:pPr>
              <w:rPr>
                <w:color w:val="000000" w:themeColor="text1"/>
                <w14:textFill>
                  <w14:solidFill>
                    <w14:schemeClr w14:val="tx1"/>
                  </w14:solidFill>
                </w14:textFill>
              </w:rPr>
            </w:pPr>
          </w:p>
        </w:tc>
        <w:tc>
          <w:tcPr>
            <w:tcW w:w="2095"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714561F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原生绿地（芦苇荡）面积（㎡）</w:t>
            </w:r>
          </w:p>
        </w:tc>
        <w:tc>
          <w:tcPr>
            <w:tcW w:w="1593"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122784EF">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建设绿地面积（㎡）</w:t>
            </w:r>
          </w:p>
        </w:tc>
        <w:tc>
          <w:tcPr>
            <w:tcW w:w="1321" w:type="dxa"/>
            <w:tcBorders>
              <w:top w:val="single" w:color="000000" w:sz="4" w:space="0"/>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084AFE0A">
            <w:pPr>
              <w:pStyle w:val="6"/>
              <w:jc w:val="center"/>
              <w:rPr>
                <w:color w:val="000000" w:themeColor="text1"/>
                <w14:textFill>
                  <w14:solidFill>
                    <w14:schemeClr w14:val="tx1"/>
                  </w14:solidFill>
                </w14:textFill>
              </w:rPr>
            </w:pPr>
          </w:p>
        </w:tc>
      </w:tr>
      <w:tr w14:paraId="2D545D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6" w:type="dxa"/>
            <w:tcBorders>
              <w:top w:val="nil"/>
              <w:left w:val="single" w:color="000000" w:sz="4" w:space="0"/>
              <w:bottom w:val="single" w:color="000000" w:sz="4" w:space="0"/>
              <w:right w:val="single" w:color="000000" w:sz="4" w:space="0"/>
            </w:tcBorders>
            <w:shd w:val="clear" w:color="auto" w:fill="FFFFFF"/>
            <w:tcMar>
              <w:top w:w="15" w:type="dxa"/>
              <w:left w:w="15" w:type="dxa"/>
              <w:bottom w:w="15" w:type="dxa"/>
              <w:right w:w="15" w:type="dxa"/>
            </w:tcMar>
            <w:vAlign w:val="top"/>
          </w:tcPr>
          <w:p w14:paraId="7CC1E72F">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环南台岛滨江休闲路淮安大桥至三环段</w:t>
            </w:r>
          </w:p>
        </w:tc>
        <w:tc>
          <w:tcPr>
            <w:tcW w:w="911"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5EA1147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w:t>
            </w:r>
          </w:p>
        </w:tc>
        <w:tc>
          <w:tcPr>
            <w:tcW w:w="1107"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7561E71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23008.9</w:t>
            </w:r>
          </w:p>
        </w:tc>
        <w:tc>
          <w:tcPr>
            <w:tcW w:w="2095"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04F9BC88">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w:t>
            </w:r>
          </w:p>
        </w:tc>
        <w:tc>
          <w:tcPr>
            <w:tcW w:w="1593"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24512EB9">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23008.9</w:t>
            </w:r>
          </w:p>
        </w:tc>
        <w:tc>
          <w:tcPr>
            <w:tcW w:w="1321" w:type="dxa"/>
            <w:vMerge w:val="restart"/>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7A700589">
            <w:pPr>
              <w:pStyle w:val="6"/>
              <w:jc w:val="center"/>
              <w:rPr>
                <w:color w:val="000000" w:themeColor="text1"/>
                <w14:textFill>
                  <w14:solidFill>
                    <w14:schemeClr w14:val="tx1"/>
                  </w14:solidFill>
                </w14:textFill>
              </w:rPr>
            </w:pPr>
          </w:p>
        </w:tc>
      </w:tr>
      <w:tr w14:paraId="368D0E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6" w:type="dxa"/>
            <w:tcBorders>
              <w:top w:val="nil"/>
              <w:left w:val="single" w:color="000000" w:sz="4" w:space="0"/>
              <w:bottom w:val="single" w:color="000000" w:sz="4" w:space="0"/>
              <w:right w:val="single" w:color="000000" w:sz="4" w:space="0"/>
            </w:tcBorders>
            <w:shd w:val="clear" w:color="auto" w:fill="FFFFFF"/>
            <w:tcMar>
              <w:top w:w="15" w:type="dxa"/>
              <w:left w:w="15" w:type="dxa"/>
              <w:bottom w:w="15" w:type="dxa"/>
              <w:right w:w="15" w:type="dxa"/>
            </w:tcMar>
            <w:vAlign w:val="top"/>
          </w:tcPr>
          <w:p w14:paraId="2126C3A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环南台岛滨江绿化工程（淮安至橘园洲大桥段）</w:t>
            </w:r>
          </w:p>
        </w:tc>
        <w:tc>
          <w:tcPr>
            <w:tcW w:w="911"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2C480EA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7标段</w:t>
            </w:r>
          </w:p>
        </w:tc>
        <w:tc>
          <w:tcPr>
            <w:tcW w:w="1107"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5C20BFC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144455</w:t>
            </w:r>
          </w:p>
        </w:tc>
        <w:tc>
          <w:tcPr>
            <w:tcW w:w="2095"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0F400588">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w:t>
            </w:r>
          </w:p>
        </w:tc>
        <w:tc>
          <w:tcPr>
            <w:tcW w:w="1593"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0D411604">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144455</w:t>
            </w:r>
          </w:p>
        </w:tc>
        <w:tc>
          <w:tcPr>
            <w:tcW w:w="1321" w:type="dxa"/>
            <w:vMerge w:val="continue"/>
            <w:tcBorders>
              <w:top w:val="nil"/>
              <w:left w:val="nil"/>
              <w:bottom w:val="single" w:color="000000" w:sz="4" w:space="0"/>
              <w:right w:val="single" w:color="000000" w:sz="4" w:space="0"/>
            </w:tcBorders>
          </w:tcPr>
          <w:p w14:paraId="3201F524">
            <w:pPr>
              <w:rPr>
                <w:color w:val="000000" w:themeColor="text1"/>
                <w14:textFill>
                  <w14:solidFill>
                    <w14:schemeClr w14:val="tx1"/>
                  </w14:solidFill>
                </w14:textFill>
              </w:rPr>
            </w:pPr>
          </w:p>
        </w:tc>
      </w:tr>
      <w:tr w14:paraId="44B61D6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6"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bottom w:w="15" w:type="dxa"/>
              <w:right w:w="15" w:type="dxa"/>
            </w:tcMar>
            <w:vAlign w:val="top"/>
          </w:tcPr>
          <w:p w14:paraId="0FBD2D29">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环南台岛滨江绿化工程（橘园洲至湾边大桥段）</w:t>
            </w:r>
          </w:p>
        </w:tc>
        <w:tc>
          <w:tcPr>
            <w:tcW w:w="911"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274460C1">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1标段</w:t>
            </w:r>
          </w:p>
        </w:tc>
        <w:tc>
          <w:tcPr>
            <w:tcW w:w="1107"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6091925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144774</w:t>
            </w:r>
          </w:p>
        </w:tc>
        <w:tc>
          <w:tcPr>
            <w:tcW w:w="2095"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07BDDBD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57589</w:t>
            </w:r>
          </w:p>
        </w:tc>
        <w:tc>
          <w:tcPr>
            <w:tcW w:w="1593"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7367F50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87185</w:t>
            </w:r>
          </w:p>
        </w:tc>
        <w:tc>
          <w:tcPr>
            <w:tcW w:w="1321" w:type="dxa"/>
            <w:vMerge w:val="continue"/>
            <w:tcBorders>
              <w:top w:val="nil"/>
              <w:left w:val="nil"/>
              <w:bottom w:val="single" w:color="000000" w:sz="4" w:space="0"/>
              <w:right w:val="single" w:color="000000" w:sz="4" w:space="0"/>
            </w:tcBorders>
          </w:tcPr>
          <w:p w14:paraId="25A103D2">
            <w:pPr>
              <w:rPr>
                <w:color w:val="000000" w:themeColor="text1"/>
                <w14:textFill>
                  <w14:solidFill>
                    <w14:schemeClr w14:val="tx1"/>
                  </w14:solidFill>
                </w14:textFill>
              </w:rPr>
            </w:pPr>
          </w:p>
        </w:tc>
      </w:tr>
      <w:tr w14:paraId="24EC0C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6" w:type="dxa"/>
            <w:vMerge w:val="continue"/>
            <w:tcBorders>
              <w:top w:val="nil"/>
              <w:left w:val="single" w:color="000000" w:sz="4" w:space="0"/>
              <w:bottom w:val="single" w:color="000000" w:sz="4" w:space="0"/>
              <w:right w:val="single" w:color="000000" w:sz="4" w:space="0"/>
            </w:tcBorders>
          </w:tcPr>
          <w:p w14:paraId="5E4F7143">
            <w:pPr>
              <w:rPr>
                <w:color w:val="000000" w:themeColor="text1"/>
                <w14:textFill>
                  <w14:solidFill>
                    <w14:schemeClr w14:val="tx1"/>
                  </w14:solidFill>
                </w14:textFill>
              </w:rPr>
            </w:pPr>
          </w:p>
        </w:tc>
        <w:tc>
          <w:tcPr>
            <w:tcW w:w="911"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3191FF61">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2标段</w:t>
            </w:r>
          </w:p>
        </w:tc>
        <w:tc>
          <w:tcPr>
            <w:tcW w:w="1107"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4B387272">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238174</w:t>
            </w:r>
          </w:p>
        </w:tc>
        <w:tc>
          <w:tcPr>
            <w:tcW w:w="2095"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46BE774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110280</w:t>
            </w:r>
          </w:p>
        </w:tc>
        <w:tc>
          <w:tcPr>
            <w:tcW w:w="1593" w:type="dxa"/>
            <w:tcBorders>
              <w:top w:val="nil"/>
              <w:left w:val="nil"/>
              <w:bottom w:val="single" w:color="000000" w:sz="4" w:space="0"/>
              <w:right w:val="single" w:color="000000" w:sz="4" w:space="0"/>
            </w:tcBorders>
            <w:shd w:val="clear" w:color="auto" w:fill="FFFFFF"/>
            <w:tcMar>
              <w:top w:w="15" w:type="dxa"/>
              <w:left w:w="15" w:type="dxa"/>
              <w:bottom w:w="15" w:type="dxa"/>
              <w:right w:w="15" w:type="dxa"/>
            </w:tcMar>
            <w:vAlign w:val="top"/>
          </w:tcPr>
          <w:p w14:paraId="5A21DEB0">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127894</w:t>
            </w:r>
          </w:p>
        </w:tc>
        <w:tc>
          <w:tcPr>
            <w:tcW w:w="1321" w:type="dxa"/>
            <w:vMerge w:val="continue"/>
            <w:tcBorders>
              <w:top w:val="nil"/>
              <w:left w:val="nil"/>
              <w:bottom w:val="single" w:color="000000" w:sz="4" w:space="0"/>
              <w:right w:val="single" w:color="000000" w:sz="4" w:space="0"/>
            </w:tcBorders>
          </w:tcPr>
          <w:p w14:paraId="70FA326B">
            <w:pPr>
              <w:rPr>
                <w:color w:val="000000" w:themeColor="text1"/>
                <w14:textFill>
                  <w14:solidFill>
                    <w14:schemeClr w14:val="tx1"/>
                  </w14:solidFill>
                </w14:textFill>
              </w:rPr>
            </w:pPr>
          </w:p>
        </w:tc>
      </w:tr>
    </w:tbl>
    <w:p w14:paraId="6533C00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5.报价要求</w:t>
      </w:r>
    </w:p>
    <w:p w14:paraId="415E12CF">
      <w:pPr>
        <w:pStyle w:val="6"/>
        <w:ind w:firstLine="480"/>
        <w:jc w:val="both"/>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★投标人必须在报价部分，提供下列格式的报价明细表，否则按无效投标处理。投标人所填写的原生绿地（芦苇荡）每年每平方米单价、建设绿地面积每年每平方米单价、总价。</w:t>
      </w:r>
    </w:p>
    <w:p w14:paraId="636E47EF">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w:t>
      </w:r>
      <w:r>
        <w:rPr>
          <w:rFonts w:ascii="仿宋_GB2312" w:hAnsi="仿宋_GB2312" w:eastAsia="仿宋_GB2312" w:cs="仿宋_GB2312"/>
          <w:b/>
          <w:color w:val="000000" w:themeColor="text1"/>
          <w:sz w:val="20"/>
          <w14:textFill>
            <w14:solidFill>
              <w14:schemeClr w14:val="tx1"/>
            </w14:solidFill>
          </w14:textFill>
        </w:rPr>
        <w:t>报价明细表</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831"/>
        <w:gridCol w:w="1019"/>
        <w:gridCol w:w="1116"/>
        <w:gridCol w:w="1069"/>
        <w:gridCol w:w="1205"/>
        <w:gridCol w:w="1136"/>
        <w:gridCol w:w="1136"/>
      </w:tblGrid>
      <w:tr w14:paraId="04E8AF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879" w:hRule="atLeast"/>
        </w:trPr>
        <w:tc>
          <w:tcPr>
            <w:tcW w:w="183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372FBAE0">
            <w:pPr>
              <w:pStyle w:val="6"/>
              <w:jc w:val="center"/>
              <w:rPr>
                <w:rFonts w:ascii="仿宋_GB2312" w:hAnsi="仿宋_GB2312" w:eastAsia="仿宋_GB2312" w:cs="仿宋_GB2312"/>
                <w:b/>
                <w:bCs/>
                <w:color w:val="000000" w:themeColor="text1"/>
                <w:sz w:val="20"/>
                <w14:textFill>
                  <w14:solidFill>
                    <w14:schemeClr w14:val="tx1"/>
                  </w14:solidFill>
                </w14:textFill>
              </w:rPr>
            </w:pPr>
            <w:r>
              <w:rPr>
                <w:rFonts w:ascii="仿宋_GB2312" w:hAnsi="仿宋_GB2312" w:eastAsia="仿宋_GB2312" w:cs="仿宋_GB2312"/>
                <w:b/>
                <w:bCs/>
                <w:color w:val="000000" w:themeColor="text1"/>
                <w:sz w:val="20"/>
                <w14:textFill>
                  <w14:solidFill>
                    <w14:schemeClr w14:val="tx1"/>
                  </w14:solidFill>
                </w14:textFill>
              </w:rPr>
              <w:t>项目名称</w:t>
            </w:r>
          </w:p>
        </w:tc>
        <w:tc>
          <w:tcPr>
            <w:tcW w:w="1019"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30C2F12D">
            <w:pPr>
              <w:pStyle w:val="6"/>
              <w:jc w:val="center"/>
              <w:rPr>
                <w:rFonts w:hint="eastAsia" w:ascii="仿宋_GB2312" w:hAnsi="仿宋_GB2312" w:eastAsia="仿宋_GB2312" w:cs="仿宋_GB2312"/>
                <w:b/>
                <w:bCs/>
                <w:color w:val="000000" w:themeColor="text1"/>
                <w:sz w:val="20"/>
                <w:lang w:val="en-US" w:eastAsia="zh-CN"/>
                <w14:textFill>
                  <w14:solidFill>
                    <w14:schemeClr w14:val="tx1"/>
                  </w14:solidFill>
                </w14:textFill>
              </w:rPr>
            </w:pPr>
            <w:r>
              <w:rPr>
                <w:rFonts w:hint="eastAsia" w:ascii="仿宋_GB2312" w:hAnsi="仿宋_GB2312" w:eastAsia="仿宋_GB2312" w:cs="仿宋_GB2312"/>
                <w:b/>
                <w:bCs/>
                <w:color w:val="000000" w:themeColor="text1"/>
                <w:sz w:val="20"/>
                <w:lang w:val="en-US" w:eastAsia="zh-CN"/>
                <w14:textFill>
                  <w14:solidFill>
                    <w14:schemeClr w14:val="tx1"/>
                  </w14:solidFill>
                </w14:textFill>
              </w:rPr>
              <w:t>品目</w:t>
            </w:r>
          </w:p>
        </w:tc>
        <w:tc>
          <w:tcPr>
            <w:tcW w:w="1116"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04E66CE4">
            <w:pPr>
              <w:pStyle w:val="6"/>
              <w:jc w:val="center"/>
              <w:rPr>
                <w:rFonts w:hint="eastAsia" w:ascii="仿宋_GB2312" w:hAnsi="仿宋_GB2312" w:eastAsia="仿宋_GB2312" w:cs="仿宋_GB2312"/>
                <w:b/>
                <w:bCs/>
                <w:color w:val="000000" w:themeColor="text1"/>
                <w:sz w:val="20"/>
                <w:lang w:val="en-US" w:eastAsia="zh-CN"/>
                <w14:textFill>
                  <w14:solidFill>
                    <w14:schemeClr w14:val="tx1"/>
                  </w14:solidFill>
                </w14:textFill>
              </w:rPr>
            </w:pPr>
            <w:r>
              <w:rPr>
                <w:rFonts w:hint="eastAsia" w:ascii="仿宋_GB2312" w:hAnsi="仿宋_GB2312" w:eastAsia="仿宋_GB2312" w:cs="仿宋_GB2312"/>
                <w:b/>
                <w:bCs/>
                <w:color w:val="000000" w:themeColor="text1"/>
                <w:sz w:val="20"/>
                <w:lang w:val="en-US" w:eastAsia="zh-CN"/>
                <w14:textFill>
                  <w14:solidFill>
                    <w14:schemeClr w14:val="tx1"/>
                  </w14:solidFill>
                </w14:textFill>
              </w:rPr>
              <w:t>面积</w:t>
            </w:r>
          </w:p>
        </w:tc>
        <w:tc>
          <w:tcPr>
            <w:tcW w:w="1069"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1520475C">
            <w:pPr>
              <w:pStyle w:val="6"/>
              <w:jc w:val="center"/>
              <w:rPr>
                <w:rFonts w:hint="eastAsia" w:ascii="仿宋_GB2312" w:hAnsi="仿宋_GB2312" w:eastAsia="仿宋_GB2312" w:cs="仿宋_GB2312"/>
                <w:b/>
                <w:bCs/>
                <w:color w:val="000000" w:themeColor="text1"/>
                <w:sz w:val="20"/>
                <w:lang w:val="en-US" w:eastAsia="zh-CN"/>
                <w14:textFill>
                  <w14:solidFill>
                    <w14:schemeClr w14:val="tx1"/>
                  </w14:solidFill>
                </w14:textFill>
              </w:rPr>
            </w:pPr>
            <w:r>
              <w:rPr>
                <w:rFonts w:hint="eastAsia" w:ascii="仿宋_GB2312" w:hAnsi="仿宋_GB2312" w:eastAsia="仿宋_GB2312" w:cs="仿宋_GB2312"/>
                <w:b/>
                <w:bCs/>
                <w:color w:val="000000" w:themeColor="text1"/>
                <w:sz w:val="20"/>
                <w:lang w:val="en-US" w:eastAsia="zh-CN"/>
                <w14:textFill>
                  <w14:solidFill>
                    <w14:schemeClr w14:val="tx1"/>
                  </w14:solidFill>
                </w14:textFill>
              </w:rPr>
              <w:t>单价</w:t>
            </w:r>
          </w:p>
          <w:p w14:paraId="2EED07F1">
            <w:pPr>
              <w:pStyle w:val="6"/>
              <w:jc w:val="center"/>
              <w:rPr>
                <w:rFonts w:hint="eastAsia" w:eastAsiaTheme="minorEastAsia"/>
                <w:b/>
                <w:bCs/>
                <w:color w:val="000000" w:themeColor="text1"/>
                <w:lang w:eastAsia="zh-CN"/>
                <w14:textFill>
                  <w14:solidFill>
                    <w14:schemeClr w14:val="tx1"/>
                  </w14:solidFill>
                </w14:textFill>
              </w:rPr>
            </w:pPr>
            <w:r>
              <w:rPr>
                <w:rFonts w:hint="eastAsia" w:ascii="仿宋_GB2312" w:hAnsi="仿宋_GB2312" w:eastAsia="仿宋_GB2312" w:cs="仿宋_GB2312"/>
                <w:b/>
                <w:bCs/>
                <w:color w:val="000000" w:themeColor="text1"/>
                <w:sz w:val="20"/>
                <w:lang w:val="en-US" w:eastAsia="zh-CN"/>
                <w14:textFill>
                  <w14:solidFill>
                    <w14:schemeClr w14:val="tx1"/>
                  </w14:solidFill>
                </w14:textFill>
              </w:rPr>
              <w:t>（元/㎡.年）</w:t>
            </w:r>
          </w:p>
        </w:tc>
        <w:tc>
          <w:tcPr>
            <w:tcW w:w="120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71E82091">
            <w:pPr>
              <w:pStyle w:val="6"/>
              <w:jc w:val="center"/>
              <w:rPr>
                <w:rFonts w:hint="eastAsia" w:ascii="仿宋_GB2312" w:hAnsi="仿宋_GB2312" w:eastAsia="仿宋_GB2312" w:cs="仿宋_GB2312"/>
                <w:b/>
                <w:bCs/>
                <w:color w:val="000000" w:themeColor="text1"/>
                <w:sz w:val="20"/>
                <w:lang w:val="en-US" w:eastAsia="zh-CN"/>
                <w14:textFill>
                  <w14:solidFill>
                    <w14:schemeClr w14:val="tx1"/>
                  </w14:solidFill>
                </w14:textFill>
              </w:rPr>
            </w:pPr>
            <w:r>
              <w:rPr>
                <w:rFonts w:hint="eastAsia" w:ascii="仿宋_GB2312" w:hAnsi="仿宋_GB2312" w:eastAsia="仿宋_GB2312" w:cs="仿宋_GB2312"/>
                <w:b/>
                <w:bCs/>
                <w:color w:val="000000" w:themeColor="text1"/>
                <w:sz w:val="20"/>
                <w:lang w:val="en-US" w:eastAsia="zh-CN"/>
                <w14:textFill>
                  <w14:solidFill>
                    <w14:schemeClr w14:val="tx1"/>
                  </w14:solidFill>
                </w14:textFill>
              </w:rPr>
              <w:t>单项合计</w:t>
            </w:r>
          </w:p>
          <w:p w14:paraId="2E73B4CD">
            <w:pPr>
              <w:pStyle w:val="6"/>
              <w:jc w:val="center"/>
              <w:rPr>
                <w:rFonts w:hint="default" w:ascii="仿宋_GB2312" w:hAnsi="仿宋_GB2312" w:eastAsia="仿宋_GB2312" w:cs="仿宋_GB2312"/>
                <w:b/>
                <w:bCs/>
                <w:color w:val="000000" w:themeColor="text1"/>
                <w:sz w:val="20"/>
                <w:lang w:val="en-US" w:eastAsia="zh-CN"/>
                <w14:textFill>
                  <w14:solidFill>
                    <w14:schemeClr w14:val="tx1"/>
                  </w14:solidFill>
                </w14:textFill>
              </w:rPr>
            </w:pPr>
            <w:r>
              <w:rPr>
                <w:rFonts w:hint="eastAsia" w:ascii="仿宋_GB2312" w:hAnsi="仿宋_GB2312" w:eastAsia="仿宋_GB2312" w:cs="仿宋_GB2312"/>
                <w:b/>
                <w:bCs/>
                <w:color w:val="000000" w:themeColor="text1"/>
                <w:sz w:val="20"/>
                <w:lang w:val="en-US" w:eastAsia="zh-CN"/>
                <w14:textFill>
                  <w14:solidFill>
                    <w14:schemeClr w14:val="tx1"/>
                  </w14:solidFill>
                </w14:textFill>
              </w:rPr>
              <w:t>（</w:t>
            </w:r>
            <w:r>
              <w:rPr>
                <w:rFonts w:ascii="仿宋_GB2312" w:hAnsi="仿宋_GB2312" w:eastAsia="仿宋_GB2312" w:cs="仿宋_GB2312"/>
                <w:b/>
                <w:bCs/>
                <w:color w:val="000000" w:themeColor="text1"/>
                <w:sz w:val="20"/>
                <w14:textFill>
                  <w14:solidFill>
                    <w14:schemeClr w14:val="tx1"/>
                  </w14:solidFill>
                </w14:textFill>
              </w:rPr>
              <w:t>元/年）</w:t>
            </w:r>
          </w:p>
        </w:tc>
        <w:tc>
          <w:tcPr>
            <w:tcW w:w="113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1B128287">
            <w:pPr>
              <w:pStyle w:val="6"/>
              <w:jc w:val="center"/>
              <w:rPr>
                <w:rFonts w:hint="default" w:ascii="仿宋_GB2312" w:hAnsi="仿宋_GB2312" w:eastAsia="仿宋_GB2312" w:cs="仿宋_GB2312"/>
                <w:b/>
                <w:bCs/>
                <w:color w:val="000000" w:themeColor="text1"/>
                <w:sz w:val="20"/>
                <w:lang w:val="en-US" w:eastAsia="zh-CN"/>
                <w14:textFill>
                  <w14:solidFill>
                    <w14:schemeClr w14:val="tx1"/>
                  </w14:solidFill>
                </w14:textFill>
              </w:rPr>
            </w:pPr>
            <w:r>
              <w:rPr>
                <w:rFonts w:hint="eastAsia" w:ascii="仿宋_GB2312" w:hAnsi="仿宋_GB2312" w:eastAsia="仿宋_GB2312" w:cs="仿宋_GB2312"/>
                <w:b/>
                <w:bCs/>
                <w:color w:val="000000" w:themeColor="text1"/>
                <w:sz w:val="20"/>
                <w:lang w:val="en-US" w:eastAsia="zh-CN"/>
                <w14:textFill>
                  <w14:solidFill>
                    <w14:schemeClr w14:val="tx1"/>
                  </w14:solidFill>
                </w14:textFill>
              </w:rPr>
              <w:t>服务期限</w:t>
            </w:r>
          </w:p>
        </w:tc>
        <w:tc>
          <w:tcPr>
            <w:tcW w:w="113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2CF0EB63">
            <w:pPr>
              <w:pStyle w:val="6"/>
              <w:jc w:val="center"/>
              <w:rPr>
                <w:rFonts w:hint="eastAsia" w:ascii="仿宋_GB2312" w:hAnsi="仿宋_GB2312" w:eastAsia="仿宋_GB2312" w:cs="仿宋_GB2312"/>
                <w:b/>
                <w:bCs/>
                <w:color w:val="000000" w:themeColor="text1"/>
                <w:sz w:val="20"/>
                <w:lang w:val="en-US" w:eastAsia="zh-CN"/>
                <w14:textFill>
                  <w14:solidFill>
                    <w14:schemeClr w14:val="tx1"/>
                  </w14:solidFill>
                </w14:textFill>
              </w:rPr>
            </w:pPr>
            <w:r>
              <w:rPr>
                <w:rFonts w:hint="eastAsia" w:ascii="仿宋_GB2312" w:hAnsi="仿宋_GB2312" w:eastAsia="仿宋_GB2312" w:cs="仿宋_GB2312"/>
                <w:b/>
                <w:bCs/>
                <w:color w:val="000000" w:themeColor="text1"/>
                <w:sz w:val="20"/>
                <w:lang w:val="en-US" w:eastAsia="zh-CN"/>
                <w14:textFill>
                  <w14:solidFill>
                    <w14:schemeClr w14:val="tx1"/>
                  </w14:solidFill>
                </w14:textFill>
              </w:rPr>
              <w:t>投标总价（元）</w:t>
            </w:r>
          </w:p>
        </w:tc>
      </w:tr>
      <w:tr w14:paraId="710465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1831" w:type="dxa"/>
            <w:vMerge w:val="restart"/>
            <w:tcBorders>
              <w:top w:val="nil"/>
              <w:left w:val="single" w:color="000000" w:sz="4" w:space="0"/>
              <w:right w:val="single" w:color="auto" w:sz="4" w:space="0"/>
            </w:tcBorders>
            <w:tcMar>
              <w:top w:w="0" w:type="dxa"/>
              <w:left w:w="105" w:type="dxa"/>
              <w:bottom w:w="0" w:type="dxa"/>
              <w:right w:w="105" w:type="dxa"/>
            </w:tcMar>
            <w:vAlign w:val="center"/>
          </w:tcPr>
          <w:p w14:paraId="6667FC49">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2027-2029年乌龙江公园淮安大桥至湾边大桥段（不含沙滩公园）绿化养护服务项目</w:t>
            </w:r>
          </w:p>
        </w:tc>
        <w:tc>
          <w:tcPr>
            <w:tcW w:w="1019"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CE0CC69">
            <w:pPr>
              <w:pStyle w:val="6"/>
              <w:keepNext w:val="0"/>
              <w:keepLines w:val="0"/>
              <w:pageBreakBefore w:val="0"/>
              <w:widowControl/>
              <w:kinsoku/>
              <w:wordWrap/>
              <w:overflowPunct/>
              <w:topLinePunct w:val="0"/>
              <w:autoSpaceDE/>
              <w:autoSpaceDN/>
              <w:bidi w:val="0"/>
              <w:adjustRightInd/>
              <w:snapToGrid/>
              <w:jc w:val="center"/>
              <w:textAlignment w:val="auto"/>
              <w:rPr>
                <w:rFonts w:ascii="仿宋_GB2312" w:hAnsi="仿宋_GB2312" w:eastAsia="仿宋_GB2312" w:cs="仿宋_GB2312"/>
                <w:color w:val="000000" w:themeColor="text1"/>
                <w:sz w:val="20"/>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绿地</w:t>
            </w:r>
          </w:p>
          <w:p w14:paraId="68AD5BD5">
            <w:pPr>
              <w:pStyle w:val="6"/>
              <w:keepNext w:val="0"/>
              <w:keepLines w:val="0"/>
              <w:pageBreakBefore w:val="0"/>
              <w:widowControl/>
              <w:kinsoku/>
              <w:wordWrap/>
              <w:overflowPunct/>
              <w:topLinePunct w:val="0"/>
              <w:autoSpaceDE/>
              <w:autoSpaceDN/>
              <w:bidi w:val="0"/>
              <w:adjustRightInd/>
              <w:snapToGrid/>
              <w:jc w:val="center"/>
              <w:textAlignment w:val="auto"/>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（芦苇荡）</w:t>
            </w:r>
          </w:p>
        </w:tc>
        <w:tc>
          <w:tcPr>
            <w:tcW w:w="1116"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B8CB782">
            <w:pPr>
              <w:pStyle w:val="6"/>
              <w:jc w:val="center"/>
              <w:rPr>
                <w:rFonts w:ascii="仿宋_GB2312" w:hAnsi="仿宋_GB2312" w:eastAsia="仿宋_GB2312" w:cs="仿宋_GB2312"/>
                <w:color w:val="000000" w:themeColor="text1"/>
                <w:sz w:val="20"/>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167869</w:t>
            </w:r>
          </w:p>
          <w:p w14:paraId="6FDD9659">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平方米</w:t>
            </w:r>
          </w:p>
        </w:tc>
        <w:tc>
          <w:tcPr>
            <w:tcW w:w="1069"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171B0BD">
            <w:pPr>
              <w:pStyle w:val="6"/>
              <w:jc w:val="center"/>
              <w:rPr>
                <w:color w:val="000000" w:themeColor="text1"/>
                <w14:textFill>
                  <w14:solidFill>
                    <w14:schemeClr w14:val="tx1"/>
                  </w14:solidFill>
                </w14:textFill>
              </w:rPr>
            </w:pPr>
          </w:p>
        </w:tc>
        <w:tc>
          <w:tcPr>
            <w:tcW w:w="1205" w:type="dxa"/>
            <w:tcBorders>
              <w:top w:val="single" w:color="000000" w:sz="4" w:space="0"/>
              <w:left w:val="single" w:color="auto" w:sz="4" w:space="0"/>
              <w:bottom w:val="single" w:color="000000" w:sz="4" w:space="0"/>
              <w:right w:val="single" w:color="000000" w:sz="4" w:space="0"/>
            </w:tcBorders>
            <w:tcMar>
              <w:top w:w="0" w:type="dxa"/>
              <w:left w:w="105" w:type="dxa"/>
              <w:bottom w:w="0" w:type="dxa"/>
              <w:right w:w="105" w:type="dxa"/>
            </w:tcMar>
            <w:vAlign w:val="center"/>
          </w:tcPr>
          <w:p w14:paraId="2910CAE9">
            <w:pPr>
              <w:pStyle w:val="6"/>
              <w:jc w:val="center"/>
              <w:rPr>
                <w:color w:val="000000" w:themeColor="text1"/>
                <w14:textFill>
                  <w14:solidFill>
                    <w14:schemeClr w14:val="tx1"/>
                  </w14:solidFill>
                </w14:textFill>
              </w:rPr>
            </w:pPr>
          </w:p>
        </w:tc>
        <w:tc>
          <w:tcPr>
            <w:tcW w:w="1136" w:type="dxa"/>
            <w:vMerge w:val="restart"/>
            <w:tcBorders>
              <w:top w:val="single" w:color="000000" w:sz="4" w:space="0"/>
              <w:left w:val="nil"/>
              <w:right w:val="single" w:color="000000" w:sz="4" w:space="0"/>
            </w:tcBorders>
            <w:tcMar>
              <w:top w:w="0" w:type="dxa"/>
              <w:left w:w="105" w:type="dxa"/>
              <w:bottom w:w="0" w:type="dxa"/>
              <w:right w:w="105" w:type="dxa"/>
            </w:tcMar>
            <w:vAlign w:val="center"/>
          </w:tcPr>
          <w:p w14:paraId="02FEC7E0">
            <w:pPr>
              <w:pStyle w:val="6"/>
              <w:jc w:val="center"/>
              <w:rPr>
                <w:rFonts w:hint="default" w:eastAsiaTheme="minorEastAsia"/>
                <w:color w:val="000000" w:themeColor="text1"/>
                <w:lang w:val="en-US" w:eastAsia="zh-CN"/>
                <w14:textFill>
                  <w14:solidFill>
                    <w14:schemeClr w14:val="tx1"/>
                  </w14:solidFill>
                </w14:textFill>
              </w:rPr>
            </w:pPr>
            <w:r>
              <w:rPr>
                <w:rFonts w:hint="eastAsia" w:ascii="仿宋_GB2312" w:hAnsi="仿宋_GB2312" w:eastAsia="仿宋_GB2312" w:cs="仿宋_GB2312"/>
                <w:b/>
                <w:bCs/>
                <w:color w:val="000000" w:themeColor="text1"/>
                <w:sz w:val="20"/>
                <w:lang w:val="en-US" w:eastAsia="zh-CN"/>
                <w14:textFill>
                  <w14:solidFill>
                    <w14:schemeClr w14:val="tx1"/>
                  </w14:solidFill>
                </w14:textFill>
              </w:rPr>
              <w:t>3年</w:t>
            </w:r>
          </w:p>
        </w:tc>
        <w:tc>
          <w:tcPr>
            <w:tcW w:w="1136" w:type="dxa"/>
            <w:vMerge w:val="restart"/>
            <w:tcBorders>
              <w:top w:val="single" w:color="000000" w:sz="4" w:space="0"/>
              <w:left w:val="nil"/>
              <w:right w:val="single" w:color="000000" w:sz="4" w:space="0"/>
            </w:tcBorders>
            <w:tcMar>
              <w:top w:w="0" w:type="dxa"/>
              <w:left w:w="105" w:type="dxa"/>
              <w:bottom w:w="0" w:type="dxa"/>
              <w:right w:w="105" w:type="dxa"/>
            </w:tcMar>
            <w:vAlign w:val="center"/>
          </w:tcPr>
          <w:p w14:paraId="742E6DA5">
            <w:pPr>
              <w:pStyle w:val="6"/>
              <w:jc w:val="center"/>
              <w:rPr>
                <w:color w:val="000000" w:themeColor="text1"/>
                <w14:textFill>
                  <w14:solidFill>
                    <w14:schemeClr w14:val="tx1"/>
                  </w14:solidFill>
                </w14:textFill>
              </w:rPr>
            </w:pPr>
          </w:p>
        </w:tc>
      </w:tr>
      <w:tr w14:paraId="5E14BB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834" w:hRule="atLeast"/>
        </w:trPr>
        <w:tc>
          <w:tcPr>
            <w:tcW w:w="1831" w:type="dxa"/>
            <w:vMerge w:val="continue"/>
            <w:tcBorders>
              <w:left w:val="single" w:color="000000" w:sz="4" w:space="0"/>
              <w:bottom w:val="single" w:color="000000" w:sz="4" w:space="0"/>
              <w:right w:val="single" w:color="auto" w:sz="4" w:space="0"/>
            </w:tcBorders>
            <w:tcMar>
              <w:top w:w="0" w:type="dxa"/>
              <w:left w:w="105" w:type="dxa"/>
              <w:bottom w:w="0" w:type="dxa"/>
              <w:right w:w="105" w:type="dxa"/>
            </w:tcMar>
            <w:vAlign w:val="top"/>
          </w:tcPr>
          <w:p w14:paraId="2FF99528">
            <w:pPr>
              <w:pStyle w:val="6"/>
              <w:jc w:val="center"/>
              <w:rPr>
                <w:rFonts w:ascii="仿宋_GB2312" w:hAnsi="仿宋_GB2312" w:eastAsia="仿宋_GB2312" w:cs="仿宋_GB2312"/>
                <w:color w:val="000000" w:themeColor="text1"/>
                <w:sz w:val="20"/>
                <w14:textFill>
                  <w14:solidFill>
                    <w14:schemeClr w14:val="tx1"/>
                  </w14:solidFill>
                </w14:textFill>
              </w:rPr>
            </w:pPr>
          </w:p>
        </w:tc>
        <w:tc>
          <w:tcPr>
            <w:tcW w:w="1019"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18B356DB">
            <w:pPr>
              <w:pStyle w:val="6"/>
              <w:jc w:val="center"/>
              <w:rPr>
                <w:rFonts w:ascii="仿宋_GB2312" w:hAnsi="仿宋_GB2312" w:eastAsia="仿宋_GB2312" w:cs="仿宋_GB2312"/>
                <w:color w:val="000000" w:themeColor="text1"/>
                <w:sz w:val="20"/>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建设绿地</w:t>
            </w:r>
          </w:p>
        </w:tc>
        <w:tc>
          <w:tcPr>
            <w:tcW w:w="1116"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21DD3CA">
            <w:pPr>
              <w:pStyle w:val="6"/>
              <w:jc w:val="center"/>
              <w:rPr>
                <w:rFonts w:hint="eastAsia" w:ascii="仿宋_GB2312" w:hAnsi="仿宋_GB2312" w:eastAsia="仿宋_GB2312" w:cs="仿宋_GB2312"/>
                <w:color w:val="000000" w:themeColor="text1"/>
                <w:sz w:val="20"/>
                <w14:textFill>
                  <w14:solidFill>
                    <w14:schemeClr w14:val="tx1"/>
                  </w14:solidFill>
                </w14:textFill>
              </w:rPr>
            </w:pPr>
            <w:r>
              <w:rPr>
                <w:rFonts w:hint="eastAsia" w:ascii="仿宋_GB2312" w:hAnsi="仿宋_GB2312" w:eastAsia="仿宋_GB2312" w:cs="仿宋_GB2312"/>
                <w:color w:val="000000" w:themeColor="text1"/>
                <w:sz w:val="20"/>
                <w14:textFill>
                  <w14:solidFill>
                    <w14:schemeClr w14:val="tx1"/>
                  </w14:solidFill>
                </w14:textFill>
              </w:rPr>
              <w:t>382542.9</w:t>
            </w:r>
          </w:p>
          <w:p w14:paraId="452EDC14">
            <w:pPr>
              <w:pStyle w:val="6"/>
              <w:jc w:val="center"/>
              <w:rPr>
                <w:rFonts w:ascii="仿宋_GB2312" w:hAnsi="仿宋_GB2312" w:eastAsia="仿宋_GB2312" w:cs="仿宋_GB2312"/>
                <w:color w:val="000000" w:themeColor="text1"/>
                <w:sz w:val="20"/>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平方米</w:t>
            </w:r>
          </w:p>
        </w:tc>
        <w:tc>
          <w:tcPr>
            <w:tcW w:w="1069"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1A088290">
            <w:pPr>
              <w:pStyle w:val="6"/>
              <w:jc w:val="center"/>
              <w:rPr>
                <w:color w:val="000000" w:themeColor="text1"/>
                <w14:textFill>
                  <w14:solidFill>
                    <w14:schemeClr w14:val="tx1"/>
                  </w14:solidFill>
                </w14:textFill>
              </w:rPr>
            </w:pPr>
          </w:p>
        </w:tc>
        <w:tc>
          <w:tcPr>
            <w:tcW w:w="1205" w:type="dxa"/>
            <w:tcBorders>
              <w:top w:val="single" w:color="000000" w:sz="4" w:space="0"/>
              <w:left w:val="single" w:color="auto" w:sz="4" w:space="0"/>
              <w:bottom w:val="single" w:color="000000" w:sz="4" w:space="0"/>
              <w:right w:val="single" w:color="000000" w:sz="4" w:space="0"/>
            </w:tcBorders>
            <w:tcMar>
              <w:top w:w="0" w:type="dxa"/>
              <w:left w:w="105" w:type="dxa"/>
              <w:bottom w:w="0" w:type="dxa"/>
              <w:right w:w="105" w:type="dxa"/>
            </w:tcMar>
            <w:vAlign w:val="center"/>
          </w:tcPr>
          <w:p w14:paraId="4EA7AF4C">
            <w:pPr>
              <w:pStyle w:val="6"/>
              <w:jc w:val="center"/>
              <w:rPr>
                <w:color w:val="000000" w:themeColor="text1"/>
                <w14:textFill>
                  <w14:solidFill>
                    <w14:schemeClr w14:val="tx1"/>
                  </w14:solidFill>
                </w14:textFill>
              </w:rPr>
            </w:pPr>
          </w:p>
        </w:tc>
        <w:tc>
          <w:tcPr>
            <w:tcW w:w="1136" w:type="dxa"/>
            <w:vMerge w:val="continue"/>
            <w:tcBorders>
              <w:left w:val="nil"/>
              <w:bottom w:val="single" w:color="000000" w:sz="4" w:space="0"/>
              <w:right w:val="single" w:color="000000" w:sz="4" w:space="0"/>
            </w:tcBorders>
            <w:tcMar>
              <w:top w:w="0" w:type="dxa"/>
              <w:left w:w="105" w:type="dxa"/>
              <w:bottom w:w="0" w:type="dxa"/>
              <w:right w:w="105" w:type="dxa"/>
            </w:tcMar>
            <w:vAlign w:val="top"/>
          </w:tcPr>
          <w:p w14:paraId="733ADFAA">
            <w:pPr>
              <w:pStyle w:val="6"/>
              <w:jc w:val="center"/>
              <w:rPr>
                <w:rFonts w:hint="default"/>
                <w:color w:val="000000" w:themeColor="text1"/>
                <w:lang w:val="en-US"/>
                <w14:textFill>
                  <w14:solidFill>
                    <w14:schemeClr w14:val="tx1"/>
                  </w14:solidFill>
                </w14:textFill>
              </w:rPr>
            </w:pPr>
          </w:p>
        </w:tc>
        <w:tc>
          <w:tcPr>
            <w:tcW w:w="1136" w:type="dxa"/>
            <w:vMerge w:val="continue"/>
            <w:tcBorders>
              <w:left w:val="nil"/>
              <w:bottom w:val="single" w:color="000000" w:sz="4" w:space="0"/>
              <w:right w:val="single" w:color="000000" w:sz="4" w:space="0"/>
            </w:tcBorders>
            <w:tcMar>
              <w:top w:w="0" w:type="dxa"/>
              <w:left w:w="105" w:type="dxa"/>
              <w:bottom w:w="0" w:type="dxa"/>
              <w:right w:w="105" w:type="dxa"/>
            </w:tcMar>
            <w:vAlign w:val="top"/>
          </w:tcPr>
          <w:p w14:paraId="1A59C508">
            <w:pPr>
              <w:pStyle w:val="6"/>
              <w:jc w:val="center"/>
              <w:rPr>
                <w:color w:val="000000" w:themeColor="text1"/>
                <w14:textFill>
                  <w14:solidFill>
                    <w14:schemeClr w14:val="tx1"/>
                  </w14:solidFill>
                </w14:textFill>
              </w:rPr>
            </w:pPr>
          </w:p>
        </w:tc>
      </w:tr>
    </w:tbl>
    <w:p w14:paraId="519EAE85">
      <w:pPr>
        <w:pStyle w:val="6"/>
        <w:jc w:val="both"/>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投标报价应包括但不限于服务所涉及的有关项目的所有费用进行报价，包括但不限于作业人员工资(含养老保险、医疗保险、失业保险、工伤保险、生育保险、团体险或雇主责任险)、作业人员休息日和法定节假日的加班、奖金和各种津贴、补贴以及工作服装费、各项岗位培训费、行政管理费、工具配备费用、劳保费用、管理费、设备折旧费、机械车辆的维修费、机械作业费（含车辆油费、水费、工具费）、垃圾转运费、利润、税金等一切费用，采购人不再承担任何费用。投标人还需考虑到合同中可能出现的索赔和变更。</w:t>
      </w:r>
    </w:p>
    <w:p w14:paraId="6A6C6579">
      <w:pPr>
        <w:pStyle w:val="6"/>
        <w:jc w:val="both"/>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二、技术和服务要求（以“★”标示的内容为不允许负偏离的实质性要求）</w:t>
      </w:r>
    </w:p>
    <w:p w14:paraId="09ED33B6">
      <w:pPr>
        <w:pStyle w:val="6"/>
        <w:jc w:val="left"/>
        <w:rPr>
          <w:color w:val="000000" w:themeColor="text1"/>
          <w14:textFill>
            <w14:solidFill>
              <w14:schemeClr w14:val="tx1"/>
            </w14:solidFill>
          </w14:textFill>
        </w:rPr>
      </w:pPr>
      <w:r>
        <w:rPr>
          <w:rFonts w:ascii="仿宋_GB2312" w:hAnsi="仿宋_GB2312" w:eastAsia="仿宋_GB2312" w:cs="仿宋_GB2312"/>
          <w:b/>
          <w:color w:val="000000" w:themeColor="text1"/>
          <w:sz w:val="20"/>
          <w:shd w:val="clear" w:fill="FFFFFF"/>
          <w14:textFill>
            <w14:solidFill>
              <w14:schemeClr w14:val="tx1"/>
            </w14:solidFill>
          </w14:textFill>
        </w:rPr>
        <w:t>（一）</w:t>
      </w:r>
      <w:r>
        <w:rPr>
          <w:rFonts w:ascii="仿宋_GB2312" w:hAnsi="仿宋_GB2312" w:eastAsia="仿宋_GB2312" w:cs="仿宋_GB2312"/>
          <w:color w:val="000000" w:themeColor="text1"/>
          <w:sz w:val="20"/>
          <w:shd w:val="clear" w:fill="FFFFFF"/>
          <w14:textFill>
            <w14:solidFill>
              <w14:schemeClr w14:val="tx1"/>
            </w14:solidFill>
          </w14:textFill>
        </w:rPr>
        <w:t>服务职责</w:t>
      </w:r>
    </w:p>
    <w:p w14:paraId="792D869C">
      <w:pPr>
        <w:pStyle w:val="6"/>
        <w:spacing w:before="45" w:after="45"/>
        <w:ind w:firstLine="480"/>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[评分项1]</w:t>
      </w:r>
      <w:r>
        <w:rPr>
          <w:rFonts w:ascii="仿宋_GB2312" w:hAnsi="仿宋_GB2312" w:eastAsia="仿宋_GB2312" w:cs="仿宋_GB2312"/>
          <w:color w:val="000000" w:themeColor="text1"/>
          <w:sz w:val="20"/>
          <w14:textFill>
            <w14:solidFill>
              <w14:schemeClr w14:val="tx1"/>
            </w14:solidFill>
          </w14:textFill>
        </w:rPr>
        <w:t>序号1：按照福州市园林中心颁布的《福州市市管公园绿化分级养护质量考核办法（试行）》二级养护质量标准、《福州市乌龙江公园（不含沙滩公园）绿化养护质量标准及评分细则》中的养护质量标准执行，中标人应遵守公园管理规定，服从采购人管理。养护期限内，中标人应为本项目设立一名项目负责人专门管理本项目，中标人应按照绿化养护操作规程及绿化养护质量标准，制定合理的养护方案，合理组织，精心养护，保质保量完成养护管理任务。在招标文件发布后及合同实施过程中，若福州市园林中心发布新的绿化养护相关标准，从其规定。</w:t>
      </w:r>
    </w:p>
    <w:p w14:paraId="63A9512A">
      <w:pPr>
        <w:pStyle w:val="6"/>
        <w:ind w:firstLine="480"/>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[评分项2]</w:t>
      </w:r>
      <w:r>
        <w:rPr>
          <w:rFonts w:ascii="仿宋_GB2312" w:hAnsi="仿宋_GB2312" w:eastAsia="仿宋_GB2312" w:cs="仿宋_GB2312"/>
          <w:color w:val="000000" w:themeColor="text1"/>
          <w:sz w:val="20"/>
          <w14:textFill>
            <w14:solidFill>
              <w14:schemeClr w14:val="tx1"/>
            </w14:solidFill>
          </w14:textFill>
        </w:rPr>
        <w:t>序号2：中标人</w:t>
      </w:r>
      <w:r>
        <w:rPr>
          <w:rFonts w:ascii="仿宋_GB2312" w:hAnsi="仿宋_GB2312" w:eastAsia="仿宋_GB2312" w:cs="仿宋_GB2312"/>
          <w:color w:val="000000" w:themeColor="text1"/>
          <w:sz w:val="20"/>
          <w:shd w:val="clear" w:fill="FFFFFF"/>
          <w14:textFill>
            <w14:solidFill>
              <w14:schemeClr w14:val="tx1"/>
            </w14:solidFill>
          </w14:textFill>
        </w:rPr>
        <w:t>每月申请养护费进度款时应向采购人提交上一个月养护内业资料、下个月养护管理计划及有关措施。</w:t>
      </w:r>
    </w:p>
    <w:p w14:paraId="4E7C2196">
      <w:pPr>
        <w:pStyle w:val="6"/>
        <w:ind w:firstLine="480"/>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★（二）绿化养护作业内容</w:t>
      </w:r>
    </w:p>
    <w:tbl>
      <w:tblPr>
        <w:tblStyle w:val="4"/>
        <w:tblW w:w="0" w:type="auto"/>
        <w:tblInd w:w="136"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32"/>
        <w:gridCol w:w="738"/>
        <w:gridCol w:w="1805"/>
        <w:gridCol w:w="2197"/>
        <w:gridCol w:w="2918"/>
      </w:tblGrid>
      <w:tr w14:paraId="673B27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3" w:type="dxa"/>
            <w:tcBorders>
              <w:top w:val="single" w:color="000000" w:sz="4" w:space="0"/>
              <w:left w:val="single" w:color="000000" w:sz="4" w:space="0"/>
              <w:bottom w:val="single" w:color="000000" w:sz="4" w:space="0"/>
              <w:right w:val="single" w:color="000000" w:sz="4" w:space="0"/>
            </w:tcBorders>
            <w:tcMar>
              <w:top w:w="0" w:type="dxa"/>
              <w:left w:w="60" w:type="dxa"/>
              <w:bottom w:w="0" w:type="dxa"/>
              <w:right w:w="60" w:type="dxa"/>
            </w:tcMar>
            <w:vAlign w:val="top"/>
          </w:tcPr>
          <w:p w14:paraId="2810693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序号</w:t>
            </w:r>
          </w:p>
        </w:tc>
        <w:tc>
          <w:tcPr>
            <w:tcW w:w="739" w:type="dxa"/>
            <w:tcBorders>
              <w:top w:val="single" w:color="000000" w:sz="4" w:space="0"/>
              <w:left w:val="nil"/>
              <w:bottom w:val="single" w:color="000000" w:sz="4" w:space="0"/>
              <w:right w:val="single" w:color="000000" w:sz="4" w:space="0"/>
            </w:tcBorders>
            <w:tcMar>
              <w:top w:w="0" w:type="dxa"/>
              <w:left w:w="60" w:type="dxa"/>
              <w:bottom w:w="0" w:type="dxa"/>
              <w:right w:w="60" w:type="dxa"/>
            </w:tcMar>
            <w:vAlign w:val="top"/>
          </w:tcPr>
          <w:p w14:paraId="36BEEAD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作业分类</w:t>
            </w:r>
          </w:p>
        </w:tc>
        <w:tc>
          <w:tcPr>
            <w:tcW w:w="1809" w:type="dxa"/>
            <w:tcBorders>
              <w:top w:val="single" w:color="000000" w:sz="4" w:space="0"/>
              <w:left w:val="nil"/>
              <w:bottom w:val="single" w:color="000000" w:sz="4" w:space="0"/>
              <w:right w:val="single" w:color="000000" w:sz="4" w:space="0"/>
            </w:tcBorders>
            <w:tcMar>
              <w:top w:w="0" w:type="dxa"/>
              <w:left w:w="60" w:type="dxa"/>
              <w:bottom w:w="0" w:type="dxa"/>
              <w:right w:w="60" w:type="dxa"/>
            </w:tcMar>
            <w:vAlign w:val="top"/>
          </w:tcPr>
          <w:p w14:paraId="41C083F1">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作业内容</w:t>
            </w:r>
          </w:p>
        </w:tc>
        <w:tc>
          <w:tcPr>
            <w:tcW w:w="2201" w:type="dxa"/>
            <w:tcBorders>
              <w:top w:val="single" w:color="000000" w:sz="4" w:space="0"/>
              <w:left w:val="nil"/>
              <w:bottom w:val="single" w:color="000000" w:sz="4" w:space="0"/>
              <w:right w:val="single" w:color="000000" w:sz="4" w:space="0"/>
            </w:tcBorders>
            <w:tcMar>
              <w:top w:w="0" w:type="dxa"/>
              <w:left w:w="60" w:type="dxa"/>
              <w:bottom w:w="0" w:type="dxa"/>
              <w:right w:w="60" w:type="dxa"/>
            </w:tcMar>
            <w:vAlign w:val="top"/>
          </w:tcPr>
          <w:p w14:paraId="464BA30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养护标准</w:t>
            </w:r>
          </w:p>
        </w:tc>
        <w:tc>
          <w:tcPr>
            <w:tcW w:w="2924" w:type="dxa"/>
            <w:tcBorders>
              <w:top w:val="single" w:color="000000" w:sz="4" w:space="0"/>
              <w:left w:val="nil"/>
              <w:bottom w:val="single" w:color="000000" w:sz="4" w:space="0"/>
              <w:right w:val="single" w:color="000000" w:sz="4" w:space="0"/>
            </w:tcBorders>
            <w:tcMar>
              <w:top w:w="0" w:type="dxa"/>
              <w:left w:w="60" w:type="dxa"/>
              <w:bottom w:w="0" w:type="dxa"/>
              <w:right w:w="60" w:type="dxa"/>
            </w:tcMar>
            <w:vAlign w:val="top"/>
          </w:tcPr>
          <w:p w14:paraId="7D302AC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备注</w:t>
            </w:r>
          </w:p>
        </w:tc>
      </w:tr>
      <w:tr w14:paraId="3705AD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3" w:type="dxa"/>
            <w:vMerge w:val="restart"/>
            <w:tcBorders>
              <w:top w:val="nil"/>
              <w:left w:val="single" w:color="000000" w:sz="4" w:space="0"/>
              <w:bottom w:val="single" w:color="000000" w:sz="4" w:space="0"/>
              <w:right w:val="single" w:color="000000" w:sz="4" w:space="0"/>
            </w:tcBorders>
            <w:tcMar>
              <w:top w:w="0" w:type="dxa"/>
              <w:left w:w="60" w:type="dxa"/>
              <w:bottom w:w="0" w:type="dxa"/>
              <w:right w:w="60" w:type="dxa"/>
            </w:tcMar>
            <w:vAlign w:val="center"/>
          </w:tcPr>
          <w:p w14:paraId="45DE1A4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3</w:t>
            </w:r>
          </w:p>
        </w:tc>
        <w:tc>
          <w:tcPr>
            <w:tcW w:w="739" w:type="dxa"/>
            <w:vMerge w:val="restart"/>
            <w:tcBorders>
              <w:top w:val="nil"/>
              <w:left w:val="nil"/>
              <w:bottom w:val="single" w:color="000000" w:sz="4" w:space="0"/>
              <w:right w:val="single" w:color="000000" w:sz="4" w:space="0"/>
            </w:tcBorders>
            <w:tcMar>
              <w:top w:w="0" w:type="dxa"/>
              <w:left w:w="60" w:type="dxa"/>
              <w:bottom w:w="0" w:type="dxa"/>
              <w:right w:w="60" w:type="dxa"/>
            </w:tcMar>
            <w:vAlign w:val="center"/>
          </w:tcPr>
          <w:p w14:paraId="475EB811">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日常绿化养护</w:t>
            </w:r>
          </w:p>
        </w:tc>
        <w:tc>
          <w:tcPr>
            <w:tcW w:w="1809" w:type="dxa"/>
            <w:tcBorders>
              <w:top w:val="nil"/>
              <w:left w:val="nil"/>
              <w:bottom w:val="single" w:color="000000" w:sz="4" w:space="0"/>
              <w:right w:val="single" w:color="000000" w:sz="4" w:space="0"/>
            </w:tcBorders>
            <w:tcMar>
              <w:top w:w="0" w:type="dxa"/>
              <w:left w:w="60" w:type="dxa"/>
              <w:bottom w:w="0" w:type="dxa"/>
              <w:right w:w="60" w:type="dxa"/>
            </w:tcMar>
            <w:vAlign w:val="center"/>
          </w:tcPr>
          <w:p w14:paraId="4758EDC4">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浇水</w:t>
            </w:r>
          </w:p>
        </w:tc>
        <w:tc>
          <w:tcPr>
            <w:tcW w:w="2201" w:type="dxa"/>
            <w:vMerge w:val="restart"/>
            <w:tcBorders>
              <w:top w:val="nil"/>
              <w:left w:val="nil"/>
              <w:bottom w:val="nil"/>
              <w:right w:val="single" w:color="000000" w:sz="4" w:space="0"/>
            </w:tcBorders>
            <w:tcMar>
              <w:top w:w="0" w:type="dxa"/>
              <w:left w:w="60" w:type="dxa"/>
              <w:bottom w:w="0" w:type="dxa"/>
              <w:right w:w="60" w:type="dxa"/>
            </w:tcMar>
            <w:vAlign w:val="center"/>
          </w:tcPr>
          <w:p w14:paraId="633D3E4A">
            <w:pPr>
              <w:pStyle w:val="6"/>
              <w:jc w:val="center"/>
              <w:rPr>
                <w:color w:val="000000" w:themeColor="text1"/>
                <w14:textFill>
                  <w14:solidFill>
                    <w14:schemeClr w14:val="tx1"/>
                  </w14:solidFill>
                </w14:textFill>
              </w:rPr>
            </w:pPr>
            <w:r>
              <w:rPr>
                <w:rFonts w:ascii="仿宋_GB2312" w:hAnsi="仿宋_GB2312" w:eastAsia="仿宋_GB2312" w:cs="仿宋_GB2312"/>
                <w:b/>
                <w:color w:val="000000" w:themeColor="text1"/>
                <w:sz w:val="20"/>
                <w:shd w:val="clear" w:fill="FFFFFF"/>
                <w14:textFill>
                  <w14:solidFill>
                    <w14:schemeClr w14:val="tx1"/>
                  </w14:solidFill>
                </w14:textFill>
              </w:rPr>
              <w:t>《</w:t>
            </w:r>
            <w:r>
              <w:rPr>
                <w:rFonts w:ascii="仿宋_GB2312" w:hAnsi="仿宋_GB2312" w:eastAsia="仿宋_GB2312" w:cs="仿宋_GB2312"/>
                <w:b/>
                <w:color w:val="000000" w:themeColor="text1"/>
                <w:sz w:val="20"/>
                <w14:textFill>
                  <w14:solidFill>
                    <w14:schemeClr w14:val="tx1"/>
                  </w14:solidFill>
                </w14:textFill>
              </w:rPr>
              <w:t>福州市市管公园绿化分级养护质量考核办法（试行）</w:t>
            </w:r>
            <w:r>
              <w:rPr>
                <w:rFonts w:ascii="仿宋_GB2312" w:hAnsi="仿宋_GB2312" w:eastAsia="仿宋_GB2312" w:cs="仿宋_GB2312"/>
                <w:b/>
                <w:color w:val="000000" w:themeColor="text1"/>
                <w:sz w:val="20"/>
                <w:shd w:val="clear" w:fill="FFFFFF"/>
                <w14:textFill>
                  <w14:solidFill>
                    <w14:schemeClr w14:val="tx1"/>
                  </w14:solidFill>
                </w14:textFill>
              </w:rPr>
              <w:t>》</w:t>
            </w:r>
            <w:r>
              <w:rPr>
                <w:rFonts w:ascii="仿宋_GB2312" w:hAnsi="仿宋_GB2312" w:eastAsia="仿宋_GB2312" w:cs="仿宋_GB2312"/>
                <w:b/>
                <w:color w:val="000000" w:themeColor="text1"/>
                <w:sz w:val="20"/>
                <w14:textFill>
                  <w14:solidFill>
                    <w14:schemeClr w14:val="tx1"/>
                  </w14:solidFill>
                </w14:textFill>
              </w:rPr>
              <w:t>二级养护质量标准</w:t>
            </w:r>
            <w:r>
              <w:rPr>
                <w:rFonts w:ascii="仿宋_GB2312" w:hAnsi="仿宋_GB2312" w:eastAsia="仿宋_GB2312" w:cs="仿宋_GB2312"/>
                <w:b/>
                <w:color w:val="000000" w:themeColor="text1"/>
                <w:sz w:val="20"/>
                <w:shd w:val="clear" w:fill="FFFFFF"/>
                <w14:textFill>
                  <w14:solidFill>
                    <w14:schemeClr w14:val="tx1"/>
                  </w14:solidFill>
                </w14:textFill>
              </w:rPr>
              <w:t>、《</w:t>
            </w:r>
            <w:r>
              <w:rPr>
                <w:rFonts w:ascii="仿宋_GB2312" w:hAnsi="仿宋_GB2312" w:eastAsia="仿宋_GB2312" w:cs="仿宋_GB2312"/>
                <w:b/>
                <w:color w:val="000000" w:themeColor="text1"/>
                <w:sz w:val="20"/>
                <w14:textFill>
                  <w14:solidFill>
                    <w14:schemeClr w14:val="tx1"/>
                  </w14:solidFill>
                </w14:textFill>
              </w:rPr>
              <w:t>福州市乌龙江公园（不含沙滩公园）绿化养护质量标准及评分细则</w:t>
            </w:r>
            <w:r>
              <w:rPr>
                <w:rFonts w:ascii="仿宋_GB2312" w:hAnsi="仿宋_GB2312" w:eastAsia="仿宋_GB2312" w:cs="仿宋_GB2312"/>
                <w:b/>
                <w:color w:val="000000" w:themeColor="text1"/>
                <w:sz w:val="20"/>
                <w:shd w:val="clear" w:fill="FFFFFF"/>
                <w14:textFill>
                  <w14:solidFill>
                    <w14:schemeClr w14:val="tx1"/>
                  </w14:solidFill>
                </w14:textFill>
              </w:rPr>
              <w:t>》</w:t>
            </w:r>
          </w:p>
          <w:p w14:paraId="2F8177FB">
            <w:pPr>
              <w:pStyle w:val="6"/>
              <w:jc w:val="center"/>
              <w:rPr>
                <w:color w:val="000000" w:themeColor="text1"/>
                <w14:textFill>
                  <w14:solidFill>
                    <w14:schemeClr w14:val="tx1"/>
                  </w14:solidFill>
                </w14:textFill>
              </w:rPr>
            </w:pPr>
          </w:p>
        </w:tc>
        <w:tc>
          <w:tcPr>
            <w:tcW w:w="2924" w:type="dxa"/>
            <w:vMerge w:val="restart"/>
            <w:tcBorders>
              <w:top w:val="nil"/>
              <w:left w:val="nil"/>
              <w:bottom w:val="outset" w:color="000000" w:sz="4" w:space="0"/>
              <w:right w:val="single" w:color="000000" w:sz="4" w:space="0"/>
            </w:tcBorders>
            <w:tcMar>
              <w:top w:w="0" w:type="dxa"/>
              <w:left w:w="60" w:type="dxa"/>
              <w:bottom w:w="0" w:type="dxa"/>
              <w:right w:w="60" w:type="dxa"/>
            </w:tcMar>
            <w:vAlign w:val="center"/>
          </w:tcPr>
          <w:p w14:paraId="3F9FDE9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合同范围内</w:t>
            </w:r>
          </w:p>
          <w:p w14:paraId="4ABCEE9C">
            <w:pPr>
              <w:pStyle w:val="6"/>
              <w:jc w:val="center"/>
              <w:rPr>
                <w:color w:val="000000" w:themeColor="text1"/>
                <w14:textFill>
                  <w14:solidFill>
                    <w14:schemeClr w14:val="tx1"/>
                  </w14:solidFill>
                </w14:textFill>
              </w:rPr>
            </w:pPr>
          </w:p>
        </w:tc>
      </w:tr>
      <w:tr w14:paraId="001EC2E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3" w:type="dxa"/>
            <w:vMerge w:val="continue"/>
            <w:tcBorders>
              <w:top w:val="nil"/>
              <w:left w:val="single" w:color="000000" w:sz="4" w:space="0"/>
              <w:bottom w:val="single" w:color="000000" w:sz="4" w:space="0"/>
              <w:right w:val="single" w:color="000000" w:sz="4" w:space="0"/>
            </w:tcBorders>
            <w:vAlign w:val="center"/>
          </w:tcPr>
          <w:p w14:paraId="06A771FD">
            <w:pPr>
              <w:rPr>
                <w:color w:val="000000" w:themeColor="text1"/>
                <w14:textFill>
                  <w14:solidFill>
                    <w14:schemeClr w14:val="tx1"/>
                  </w14:solidFill>
                </w14:textFill>
              </w:rPr>
            </w:pPr>
          </w:p>
        </w:tc>
        <w:tc>
          <w:tcPr>
            <w:tcW w:w="739" w:type="dxa"/>
            <w:vMerge w:val="continue"/>
            <w:tcBorders>
              <w:top w:val="nil"/>
              <w:left w:val="nil"/>
              <w:bottom w:val="single" w:color="000000" w:sz="4" w:space="0"/>
              <w:right w:val="single" w:color="000000" w:sz="4" w:space="0"/>
            </w:tcBorders>
            <w:vAlign w:val="center"/>
          </w:tcPr>
          <w:p w14:paraId="38000B99">
            <w:pPr>
              <w:rPr>
                <w:color w:val="000000" w:themeColor="text1"/>
                <w14:textFill>
                  <w14:solidFill>
                    <w14:schemeClr w14:val="tx1"/>
                  </w14:solidFill>
                </w14:textFill>
              </w:rPr>
            </w:pPr>
          </w:p>
        </w:tc>
        <w:tc>
          <w:tcPr>
            <w:tcW w:w="1809" w:type="dxa"/>
            <w:tcBorders>
              <w:top w:val="nil"/>
              <w:left w:val="nil"/>
              <w:bottom w:val="single" w:color="000000" w:sz="4" w:space="0"/>
              <w:right w:val="single" w:color="000000" w:sz="4" w:space="0"/>
            </w:tcBorders>
            <w:tcMar>
              <w:top w:w="0" w:type="dxa"/>
              <w:left w:w="60" w:type="dxa"/>
              <w:bottom w:w="0" w:type="dxa"/>
              <w:right w:w="60" w:type="dxa"/>
            </w:tcMar>
            <w:vAlign w:val="center"/>
          </w:tcPr>
          <w:p w14:paraId="4E36D294">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抹芽、修剪</w:t>
            </w:r>
          </w:p>
        </w:tc>
        <w:tc>
          <w:tcPr>
            <w:tcW w:w="2201" w:type="dxa"/>
            <w:vMerge w:val="continue"/>
            <w:tcBorders>
              <w:top w:val="nil"/>
              <w:left w:val="nil"/>
              <w:bottom w:val="nil"/>
              <w:right w:val="single" w:color="000000" w:sz="4" w:space="0"/>
            </w:tcBorders>
            <w:vAlign w:val="center"/>
          </w:tcPr>
          <w:p w14:paraId="4FFE9D94">
            <w:pPr>
              <w:rPr>
                <w:color w:val="000000" w:themeColor="text1"/>
                <w14:textFill>
                  <w14:solidFill>
                    <w14:schemeClr w14:val="tx1"/>
                  </w14:solidFill>
                </w14:textFill>
              </w:rPr>
            </w:pPr>
          </w:p>
        </w:tc>
        <w:tc>
          <w:tcPr>
            <w:tcW w:w="2924" w:type="dxa"/>
            <w:vMerge w:val="continue"/>
            <w:tcBorders>
              <w:top w:val="nil"/>
              <w:left w:val="nil"/>
              <w:bottom w:val="outset" w:color="000000" w:sz="4" w:space="0"/>
              <w:right w:val="single" w:color="000000" w:sz="4" w:space="0"/>
            </w:tcBorders>
            <w:vAlign w:val="center"/>
          </w:tcPr>
          <w:p w14:paraId="63691303">
            <w:pPr>
              <w:rPr>
                <w:color w:val="000000" w:themeColor="text1"/>
                <w14:textFill>
                  <w14:solidFill>
                    <w14:schemeClr w14:val="tx1"/>
                  </w14:solidFill>
                </w14:textFill>
              </w:rPr>
            </w:pPr>
          </w:p>
        </w:tc>
      </w:tr>
      <w:tr w14:paraId="11B33F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3" w:type="dxa"/>
            <w:vMerge w:val="continue"/>
            <w:tcBorders>
              <w:top w:val="nil"/>
              <w:left w:val="single" w:color="000000" w:sz="4" w:space="0"/>
              <w:bottom w:val="single" w:color="000000" w:sz="4" w:space="0"/>
              <w:right w:val="single" w:color="000000" w:sz="4" w:space="0"/>
            </w:tcBorders>
            <w:vAlign w:val="center"/>
          </w:tcPr>
          <w:p w14:paraId="393841BF">
            <w:pPr>
              <w:rPr>
                <w:color w:val="000000" w:themeColor="text1"/>
                <w14:textFill>
                  <w14:solidFill>
                    <w14:schemeClr w14:val="tx1"/>
                  </w14:solidFill>
                </w14:textFill>
              </w:rPr>
            </w:pPr>
          </w:p>
        </w:tc>
        <w:tc>
          <w:tcPr>
            <w:tcW w:w="739" w:type="dxa"/>
            <w:vMerge w:val="continue"/>
            <w:tcBorders>
              <w:top w:val="nil"/>
              <w:left w:val="nil"/>
              <w:bottom w:val="single" w:color="000000" w:sz="4" w:space="0"/>
              <w:right w:val="single" w:color="000000" w:sz="4" w:space="0"/>
            </w:tcBorders>
            <w:vAlign w:val="center"/>
          </w:tcPr>
          <w:p w14:paraId="29E4C9EC">
            <w:pPr>
              <w:rPr>
                <w:color w:val="000000" w:themeColor="text1"/>
                <w14:textFill>
                  <w14:solidFill>
                    <w14:schemeClr w14:val="tx1"/>
                  </w14:solidFill>
                </w14:textFill>
              </w:rPr>
            </w:pPr>
          </w:p>
        </w:tc>
        <w:tc>
          <w:tcPr>
            <w:tcW w:w="1809" w:type="dxa"/>
            <w:tcBorders>
              <w:top w:val="nil"/>
              <w:left w:val="nil"/>
              <w:bottom w:val="single" w:color="000000" w:sz="4" w:space="0"/>
              <w:right w:val="single" w:color="000000" w:sz="4" w:space="0"/>
            </w:tcBorders>
            <w:tcMar>
              <w:top w:w="0" w:type="dxa"/>
              <w:left w:w="60" w:type="dxa"/>
              <w:bottom w:w="0" w:type="dxa"/>
              <w:right w:w="60" w:type="dxa"/>
            </w:tcMar>
            <w:vAlign w:val="center"/>
          </w:tcPr>
          <w:p w14:paraId="7A15ABA5">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施肥、复壮</w:t>
            </w:r>
          </w:p>
        </w:tc>
        <w:tc>
          <w:tcPr>
            <w:tcW w:w="2201" w:type="dxa"/>
            <w:vMerge w:val="continue"/>
            <w:tcBorders>
              <w:top w:val="nil"/>
              <w:left w:val="nil"/>
              <w:bottom w:val="nil"/>
              <w:right w:val="single" w:color="000000" w:sz="4" w:space="0"/>
            </w:tcBorders>
            <w:vAlign w:val="center"/>
          </w:tcPr>
          <w:p w14:paraId="658DD75B">
            <w:pPr>
              <w:rPr>
                <w:color w:val="000000" w:themeColor="text1"/>
                <w14:textFill>
                  <w14:solidFill>
                    <w14:schemeClr w14:val="tx1"/>
                  </w14:solidFill>
                </w14:textFill>
              </w:rPr>
            </w:pPr>
          </w:p>
        </w:tc>
        <w:tc>
          <w:tcPr>
            <w:tcW w:w="2924" w:type="dxa"/>
            <w:vMerge w:val="continue"/>
            <w:tcBorders>
              <w:top w:val="nil"/>
              <w:left w:val="nil"/>
              <w:bottom w:val="outset" w:color="000000" w:sz="4" w:space="0"/>
              <w:right w:val="single" w:color="000000" w:sz="4" w:space="0"/>
            </w:tcBorders>
            <w:vAlign w:val="center"/>
          </w:tcPr>
          <w:p w14:paraId="59D29256">
            <w:pPr>
              <w:rPr>
                <w:color w:val="000000" w:themeColor="text1"/>
                <w14:textFill>
                  <w14:solidFill>
                    <w14:schemeClr w14:val="tx1"/>
                  </w14:solidFill>
                </w14:textFill>
              </w:rPr>
            </w:pPr>
          </w:p>
        </w:tc>
      </w:tr>
      <w:tr w14:paraId="5B6C7B0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3" w:type="dxa"/>
            <w:vMerge w:val="continue"/>
            <w:tcBorders>
              <w:top w:val="nil"/>
              <w:left w:val="single" w:color="000000" w:sz="4" w:space="0"/>
              <w:bottom w:val="single" w:color="000000" w:sz="4" w:space="0"/>
              <w:right w:val="single" w:color="000000" w:sz="4" w:space="0"/>
            </w:tcBorders>
            <w:vAlign w:val="center"/>
          </w:tcPr>
          <w:p w14:paraId="71FEDAAF">
            <w:pPr>
              <w:rPr>
                <w:color w:val="000000" w:themeColor="text1"/>
                <w14:textFill>
                  <w14:solidFill>
                    <w14:schemeClr w14:val="tx1"/>
                  </w14:solidFill>
                </w14:textFill>
              </w:rPr>
            </w:pPr>
          </w:p>
        </w:tc>
        <w:tc>
          <w:tcPr>
            <w:tcW w:w="739" w:type="dxa"/>
            <w:vMerge w:val="continue"/>
            <w:tcBorders>
              <w:top w:val="nil"/>
              <w:left w:val="nil"/>
              <w:bottom w:val="single" w:color="000000" w:sz="4" w:space="0"/>
              <w:right w:val="single" w:color="000000" w:sz="4" w:space="0"/>
            </w:tcBorders>
            <w:vAlign w:val="center"/>
          </w:tcPr>
          <w:p w14:paraId="258C0E56">
            <w:pPr>
              <w:rPr>
                <w:color w:val="000000" w:themeColor="text1"/>
                <w14:textFill>
                  <w14:solidFill>
                    <w14:schemeClr w14:val="tx1"/>
                  </w14:solidFill>
                </w14:textFill>
              </w:rPr>
            </w:pPr>
          </w:p>
        </w:tc>
        <w:tc>
          <w:tcPr>
            <w:tcW w:w="1809" w:type="dxa"/>
            <w:tcBorders>
              <w:top w:val="nil"/>
              <w:left w:val="nil"/>
              <w:bottom w:val="single" w:color="000000" w:sz="4" w:space="0"/>
              <w:right w:val="single" w:color="000000" w:sz="4" w:space="0"/>
            </w:tcBorders>
            <w:tcMar>
              <w:top w:w="0" w:type="dxa"/>
              <w:left w:w="60" w:type="dxa"/>
              <w:bottom w:w="0" w:type="dxa"/>
              <w:right w:w="60" w:type="dxa"/>
            </w:tcMar>
            <w:vAlign w:val="center"/>
          </w:tcPr>
          <w:p w14:paraId="6D9BFD18">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打草、除杂草</w:t>
            </w:r>
          </w:p>
        </w:tc>
        <w:tc>
          <w:tcPr>
            <w:tcW w:w="2201" w:type="dxa"/>
            <w:vMerge w:val="continue"/>
            <w:tcBorders>
              <w:top w:val="nil"/>
              <w:left w:val="nil"/>
              <w:bottom w:val="nil"/>
              <w:right w:val="single" w:color="000000" w:sz="4" w:space="0"/>
            </w:tcBorders>
            <w:vAlign w:val="center"/>
          </w:tcPr>
          <w:p w14:paraId="67A65A94">
            <w:pPr>
              <w:rPr>
                <w:color w:val="000000" w:themeColor="text1"/>
                <w14:textFill>
                  <w14:solidFill>
                    <w14:schemeClr w14:val="tx1"/>
                  </w14:solidFill>
                </w14:textFill>
              </w:rPr>
            </w:pPr>
          </w:p>
        </w:tc>
        <w:tc>
          <w:tcPr>
            <w:tcW w:w="2924" w:type="dxa"/>
            <w:vMerge w:val="continue"/>
            <w:tcBorders>
              <w:top w:val="nil"/>
              <w:left w:val="nil"/>
              <w:bottom w:val="outset" w:color="000000" w:sz="4" w:space="0"/>
              <w:right w:val="single" w:color="000000" w:sz="4" w:space="0"/>
            </w:tcBorders>
            <w:vAlign w:val="center"/>
          </w:tcPr>
          <w:p w14:paraId="6CE4D317">
            <w:pPr>
              <w:rPr>
                <w:color w:val="000000" w:themeColor="text1"/>
                <w14:textFill>
                  <w14:solidFill>
                    <w14:schemeClr w14:val="tx1"/>
                  </w14:solidFill>
                </w14:textFill>
              </w:rPr>
            </w:pPr>
          </w:p>
        </w:tc>
      </w:tr>
      <w:tr w14:paraId="59C98B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3" w:type="dxa"/>
            <w:vMerge w:val="continue"/>
            <w:tcBorders>
              <w:top w:val="nil"/>
              <w:left w:val="single" w:color="000000" w:sz="4" w:space="0"/>
              <w:bottom w:val="single" w:color="000000" w:sz="4" w:space="0"/>
              <w:right w:val="single" w:color="000000" w:sz="4" w:space="0"/>
            </w:tcBorders>
            <w:vAlign w:val="center"/>
          </w:tcPr>
          <w:p w14:paraId="5EFBEA0C">
            <w:pPr>
              <w:rPr>
                <w:color w:val="000000" w:themeColor="text1"/>
                <w14:textFill>
                  <w14:solidFill>
                    <w14:schemeClr w14:val="tx1"/>
                  </w14:solidFill>
                </w14:textFill>
              </w:rPr>
            </w:pPr>
          </w:p>
        </w:tc>
        <w:tc>
          <w:tcPr>
            <w:tcW w:w="739" w:type="dxa"/>
            <w:vMerge w:val="continue"/>
            <w:tcBorders>
              <w:top w:val="nil"/>
              <w:left w:val="nil"/>
              <w:bottom w:val="single" w:color="000000" w:sz="4" w:space="0"/>
              <w:right w:val="single" w:color="000000" w:sz="4" w:space="0"/>
            </w:tcBorders>
            <w:vAlign w:val="center"/>
          </w:tcPr>
          <w:p w14:paraId="1EC3C9F7">
            <w:pPr>
              <w:rPr>
                <w:color w:val="000000" w:themeColor="text1"/>
                <w14:textFill>
                  <w14:solidFill>
                    <w14:schemeClr w14:val="tx1"/>
                  </w14:solidFill>
                </w14:textFill>
              </w:rPr>
            </w:pPr>
          </w:p>
        </w:tc>
        <w:tc>
          <w:tcPr>
            <w:tcW w:w="1809" w:type="dxa"/>
            <w:tcBorders>
              <w:top w:val="nil"/>
              <w:left w:val="nil"/>
              <w:bottom w:val="single" w:color="000000" w:sz="4" w:space="0"/>
              <w:right w:val="single" w:color="000000" w:sz="4" w:space="0"/>
            </w:tcBorders>
            <w:tcMar>
              <w:top w:w="0" w:type="dxa"/>
              <w:left w:w="60" w:type="dxa"/>
              <w:bottom w:w="0" w:type="dxa"/>
              <w:right w:w="60" w:type="dxa"/>
            </w:tcMar>
            <w:vAlign w:val="center"/>
          </w:tcPr>
          <w:p w14:paraId="1D637A1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病虫害防治</w:t>
            </w:r>
          </w:p>
        </w:tc>
        <w:tc>
          <w:tcPr>
            <w:tcW w:w="2201" w:type="dxa"/>
            <w:vMerge w:val="continue"/>
            <w:tcBorders>
              <w:top w:val="nil"/>
              <w:left w:val="nil"/>
              <w:bottom w:val="nil"/>
              <w:right w:val="single" w:color="000000" w:sz="4" w:space="0"/>
            </w:tcBorders>
            <w:vAlign w:val="center"/>
          </w:tcPr>
          <w:p w14:paraId="180389BD">
            <w:pPr>
              <w:rPr>
                <w:color w:val="000000" w:themeColor="text1"/>
                <w14:textFill>
                  <w14:solidFill>
                    <w14:schemeClr w14:val="tx1"/>
                  </w14:solidFill>
                </w14:textFill>
              </w:rPr>
            </w:pPr>
          </w:p>
        </w:tc>
        <w:tc>
          <w:tcPr>
            <w:tcW w:w="2924" w:type="dxa"/>
            <w:vMerge w:val="continue"/>
            <w:tcBorders>
              <w:top w:val="nil"/>
              <w:left w:val="nil"/>
              <w:bottom w:val="outset" w:color="000000" w:sz="4" w:space="0"/>
              <w:right w:val="single" w:color="000000" w:sz="4" w:space="0"/>
            </w:tcBorders>
            <w:vAlign w:val="center"/>
          </w:tcPr>
          <w:p w14:paraId="51BC83F8">
            <w:pPr>
              <w:rPr>
                <w:color w:val="000000" w:themeColor="text1"/>
                <w14:textFill>
                  <w14:solidFill>
                    <w14:schemeClr w14:val="tx1"/>
                  </w14:solidFill>
                </w14:textFill>
              </w:rPr>
            </w:pPr>
          </w:p>
        </w:tc>
      </w:tr>
      <w:tr w14:paraId="01C0F6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3" w:type="dxa"/>
            <w:vMerge w:val="continue"/>
            <w:tcBorders>
              <w:top w:val="nil"/>
              <w:left w:val="single" w:color="000000" w:sz="4" w:space="0"/>
              <w:bottom w:val="single" w:color="000000" w:sz="4" w:space="0"/>
              <w:right w:val="single" w:color="000000" w:sz="4" w:space="0"/>
            </w:tcBorders>
            <w:vAlign w:val="center"/>
          </w:tcPr>
          <w:p w14:paraId="2FB6F849">
            <w:pPr>
              <w:rPr>
                <w:color w:val="000000" w:themeColor="text1"/>
                <w14:textFill>
                  <w14:solidFill>
                    <w14:schemeClr w14:val="tx1"/>
                  </w14:solidFill>
                </w14:textFill>
              </w:rPr>
            </w:pPr>
          </w:p>
        </w:tc>
        <w:tc>
          <w:tcPr>
            <w:tcW w:w="739" w:type="dxa"/>
            <w:vMerge w:val="continue"/>
            <w:tcBorders>
              <w:top w:val="nil"/>
              <w:left w:val="nil"/>
              <w:bottom w:val="single" w:color="000000" w:sz="4" w:space="0"/>
              <w:right w:val="single" w:color="000000" w:sz="4" w:space="0"/>
            </w:tcBorders>
            <w:vAlign w:val="center"/>
          </w:tcPr>
          <w:p w14:paraId="5C3747E2">
            <w:pPr>
              <w:rPr>
                <w:color w:val="000000" w:themeColor="text1"/>
                <w14:textFill>
                  <w14:solidFill>
                    <w14:schemeClr w14:val="tx1"/>
                  </w14:solidFill>
                </w14:textFill>
              </w:rPr>
            </w:pPr>
          </w:p>
        </w:tc>
        <w:tc>
          <w:tcPr>
            <w:tcW w:w="1809" w:type="dxa"/>
            <w:tcBorders>
              <w:top w:val="nil"/>
              <w:left w:val="nil"/>
              <w:bottom w:val="single" w:color="000000" w:sz="4" w:space="0"/>
              <w:right w:val="single" w:color="000000" w:sz="4" w:space="0"/>
            </w:tcBorders>
            <w:tcMar>
              <w:top w:w="0" w:type="dxa"/>
              <w:left w:w="60" w:type="dxa"/>
              <w:bottom w:w="0" w:type="dxa"/>
              <w:right w:w="60" w:type="dxa"/>
            </w:tcMar>
            <w:vAlign w:val="center"/>
          </w:tcPr>
          <w:p w14:paraId="41979FC2">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树木扶正、防寒防风、抗旱抗涝</w:t>
            </w:r>
          </w:p>
        </w:tc>
        <w:tc>
          <w:tcPr>
            <w:tcW w:w="2201" w:type="dxa"/>
            <w:vMerge w:val="continue"/>
            <w:tcBorders>
              <w:top w:val="nil"/>
              <w:left w:val="nil"/>
              <w:bottom w:val="nil"/>
              <w:right w:val="single" w:color="000000" w:sz="4" w:space="0"/>
            </w:tcBorders>
            <w:vAlign w:val="center"/>
          </w:tcPr>
          <w:p w14:paraId="46AFEC92">
            <w:pPr>
              <w:rPr>
                <w:color w:val="000000" w:themeColor="text1"/>
                <w14:textFill>
                  <w14:solidFill>
                    <w14:schemeClr w14:val="tx1"/>
                  </w14:solidFill>
                </w14:textFill>
              </w:rPr>
            </w:pPr>
          </w:p>
        </w:tc>
        <w:tc>
          <w:tcPr>
            <w:tcW w:w="2924" w:type="dxa"/>
            <w:vMerge w:val="continue"/>
            <w:tcBorders>
              <w:top w:val="nil"/>
              <w:left w:val="nil"/>
              <w:bottom w:val="outset" w:color="000000" w:sz="4" w:space="0"/>
              <w:right w:val="single" w:color="000000" w:sz="4" w:space="0"/>
            </w:tcBorders>
            <w:vAlign w:val="center"/>
          </w:tcPr>
          <w:p w14:paraId="0086CD5C">
            <w:pPr>
              <w:rPr>
                <w:color w:val="000000" w:themeColor="text1"/>
                <w14:textFill>
                  <w14:solidFill>
                    <w14:schemeClr w14:val="tx1"/>
                  </w14:solidFill>
                </w14:textFill>
              </w:rPr>
            </w:pPr>
          </w:p>
        </w:tc>
      </w:tr>
      <w:tr w14:paraId="34FEA9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3" w:type="dxa"/>
            <w:vMerge w:val="continue"/>
            <w:tcBorders>
              <w:top w:val="nil"/>
              <w:left w:val="single" w:color="000000" w:sz="4" w:space="0"/>
              <w:bottom w:val="single" w:color="000000" w:sz="4" w:space="0"/>
              <w:right w:val="single" w:color="000000" w:sz="4" w:space="0"/>
            </w:tcBorders>
            <w:vAlign w:val="center"/>
          </w:tcPr>
          <w:p w14:paraId="0CA92828">
            <w:pPr>
              <w:rPr>
                <w:color w:val="000000" w:themeColor="text1"/>
                <w14:textFill>
                  <w14:solidFill>
                    <w14:schemeClr w14:val="tx1"/>
                  </w14:solidFill>
                </w14:textFill>
              </w:rPr>
            </w:pPr>
          </w:p>
        </w:tc>
        <w:tc>
          <w:tcPr>
            <w:tcW w:w="739" w:type="dxa"/>
            <w:vMerge w:val="continue"/>
            <w:tcBorders>
              <w:top w:val="nil"/>
              <w:left w:val="nil"/>
              <w:bottom w:val="single" w:color="000000" w:sz="4" w:space="0"/>
              <w:right w:val="single" w:color="000000" w:sz="4" w:space="0"/>
            </w:tcBorders>
            <w:vAlign w:val="center"/>
          </w:tcPr>
          <w:p w14:paraId="5F2677DB">
            <w:pPr>
              <w:rPr>
                <w:color w:val="000000" w:themeColor="text1"/>
                <w14:textFill>
                  <w14:solidFill>
                    <w14:schemeClr w14:val="tx1"/>
                  </w14:solidFill>
                </w14:textFill>
              </w:rPr>
            </w:pPr>
          </w:p>
        </w:tc>
        <w:tc>
          <w:tcPr>
            <w:tcW w:w="1809" w:type="dxa"/>
            <w:tcBorders>
              <w:top w:val="nil"/>
              <w:left w:val="nil"/>
              <w:bottom w:val="single" w:color="000000" w:sz="4" w:space="0"/>
              <w:right w:val="single" w:color="000000" w:sz="4" w:space="0"/>
            </w:tcBorders>
            <w:tcMar>
              <w:top w:w="0" w:type="dxa"/>
              <w:left w:w="60" w:type="dxa"/>
              <w:bottom w:w="0" w:type="dxa"/>
              <w:right w:w="60" w:type="dxa"/>
            </w:tcMar>
            <w:vAlign w:val="center"/>
          </w:tcPr>
          <w:p w14:paraId="0779B2D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树木支撑更换、维护</w:t>
            </w:r>
          </w:p>
        </w:tc>
        <w:tc>
          <w:tcPr>
            <w:tcW w:w="2201" w:type="dxa"/>
            <w:vMerge w:val="continue"/>
            <w:tcBorders>
              <w:top w:val="nil"/>
              <w:left w:val="nil"/>
              <w:bottom w:val="nil"/>
              <w:right w:val="single" w:color="000000" w:sz="4" w:space="0"/>
            </w:tcBorders>
            <w:vAlign w:val="center"/>
          </w:tcPr>
          <w:p w14:paraId="258B8E3F">
            <w:pPr>
              <w:rPr>
                <w:color w:val="000000" w:themeColor="text1"/>
                <w14:textFill>
                  <w14:solidFill>
                    <w14:schemeClr w14:val="tx1"/>
                  </w14:solidFill>
                </w14:textFill>
              </w:rPr>
            </w:pPr>
          </w:p>
        </w:tc>
        <w:tc>
          <w:tcPr>
            <w:tcW w:w="2924" w:type="dxa"/>
            <w:vMerge w:val="continue"/>
            <w:tcBorders>
              <w:top w:val="nil"/>
              <w:left w:val="nil"/>
              <w:bottom w:val="outset" w:color="000000" w:sz="4" w:space="0"/>
              <w:right w:val="single" w:color="000000" w:sz="4" w:space="0"/>
            </w:tcBorders>
            <w:vAlign w:val="center"/>
          </w:tcPr>
          <w:p w14:paraId="691FFEBA">
            <w:pPr>
              <w:rPr>
                <w:color w:val="000000" w:themeColor="text1"/>
                <w14:textFill>
                  <w14:solidFill>
                    <w14:schemeClr w14:val="tx1"/>
                  </w14:solidFill>
                </w14:textFill>
              </w:rPr>
            </w:pPr>
          </w:p>
        </w:tc>
      </w:tr>
      <w:tr w14:paraId="78A8551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3" w:type="dxa"/>
            <w:vMerge w:val="continue"/>
            <w:tcBorders>
              <w:top w:val="nil"/>
              <w:left w:val="single" w:color="000000" w:sz="4" w:space="0"/>
              <w:bottom w:val="single" w:color="000000" w:sz="4" w:space="0"/>
              <w:right w:val="single" w:color="000000" w:sz="4" w:space="0"/>
            </w:tcBorders>
            <w:vAlign w:val="center"/>
          </w:tcPr>
          <w:p w14:paraId="25C9B826">
            <w:pPr>
              <w:rPr>
                <w:color w:val="000000" w:themeColor="text1"/>
                <w14:textFill>
                  <w14:solidFill>
                    <w14:schemeClr w14:val="tx1"/>
                  </w14:solidFill>
                </w14:textFill>
              </w:rPr>
            </w:pPr>
          </w:p>
        </w:tc>
        <w:tc>
          <w:tcPr>
            <w:tcW w:w="739" w:type="dxa"/>
            <w:vMerge w:val="continue"/>
            <w:tcBorders>
              <w:top w:val="nil"/>
              <w:left w:val="nil"/>
              <w:bottom w:val="single" w:color="000000" w:sz="4" w:space="0"/>
              <w:right w:val="single" w:color="000000" w:sz="4" w:space="0"/>
            </w:tcBorders>
            <w:vAlign w:val="center"/>
          </w:tcPr>
          <w:p w14:paraId="50D09B50">
            <w:pPr>
              <w:rPr>
                <w:color w:val="000000" w:themeColor="text1"/>
                <w14:textFill>
                  <w14:solidFill>
                    <w14:schemeClr w14:val="tx1"/>
                  </w14:solidFill>
                </w14:textFill>
              </w:rPr>
            </w:pPr>
          </w:p>
        </w:tc>
        <w:tc>
          <w:tcPr>
            <w:tcW w:w="1809" w:type="dxa"/>
            <w:tcBorders>
              <w:top w:val="nil"/>
              <w:left w:val="nil"/>
              <w:bottom w:val="single" w:color="000000" w:sz="4" w:space="0"/>
              <w:right w:val="single" w:color="000000" w:sz="4" w:space="0"/>
            </w:tcBorders>
            <w:tcMar>
              <w:top w:w="0" w:type="dxa"/>
              <w:left w:w="60" w:type="dxa"/>
              <w:bottom w:w="0" w:type="dxa"/>
              <w:right w:w="60" w:type="dxa"/>
            </w:tcMar>
            <w:vAlign w:val="center"/>
          </w:tcPr>
          <w:p w14:paraId="2B91498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切边、松土</w:t>
            </w:r>
          </w:p>
        </w:tc>
        <w:tc>
          <w:tcPr>
            <w:tcW w:w="2201" w:type="dxa"/>
            <w:vMerge w:val="continue"/>
            <w:tcBorders>
              <w:top w:val="nil"/>
              <w:left w:val="nil"/>
              <w:bottom w:val="nil"/>
              <w:right w:val="single" w:color="000000" w:sz="4" w:space="0"/>
            </w:tcBorders>
            <w:vAlign w:val="center"/>
          </w:tcPr>
          <w:p w14:paraId="73ED0377">
            <w:pPr>
              <w:rPr>
                <w:color w:val="000000" w:themeColor="text1"/>
                <w14:textFill>
                  <w14:solidFill>
                    <w14:schemeClr w14:val="tx1"/>
                  </w14:solidFill>
                </w14:textFill>
              </w:rPr>
            </w:pPr>
          </w:p>
        </w:tc>
        <w:tc>
          <w:tcPr>
            <w:tcW w:w="2924" w:type="dxa"/>
            <w:vMerge w:val="continue"/>
            <w:tcBorders>
              <w:top w:val="nil"/>
              <w:left w:val="nil"/>
              <w:bottom w:val="outset" w:color="000000" w:sz="4" w:space="0"/>
              <w:right w:val="single" w:color="000000" w:sz="4" w:space="0"/>
            </w:tcBorders>
            <w:vAlign w:val="center"/>
          </w:tcPr>
          <w:p w14:paraId="23658F22">
            <w:pPr>
              <w:rPr>
                <w:color w:val="000000" w:themeColor="text1"/>
                <w14:textFill>
                  <w14:solidFill>
                    <w14:schemeClr w14:val="tx1"/>
                  </w14:solidFill>
                </w14:textFill>
              </w:rPr>
            </w:pPr>
          </w:p>
        </w:tc>
      </w:tr>
      <w:tr w14:paraId="27C899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3" w:type="dxa"/>
            <w:vMerge w:val="continue"/>
            <w:tcBorders>
              <w:top w:val="nil"/>
              <w:left w:val="single" w:color="000000" w:sz="4" w:space="0"/>
              <w:bottom w:val="single" w:color="000000" w:sz="4" w:space="0"/>
              <w:right w:val="single" w:color="000000" w:sz="4" w:space="0"/>
            </w:tcBorders>
            <w:vAlign w:val="center"/>
          </w:tcPr>
          <w:p w14:paraId="1B4861C9">
            <w:pPr>
              <w:rPr>
                <w:color w:val="000000" w:themeColor="text1"/>
                <w14:textFill>
                  <w14:solidFill>
                    <w14:schemeClr w14:val="tx1"/>
                  </w14:solidFill>
                </w14:textFill>
              </w:rPr>
            </w:pPr>
          </w:p>
        </w:tc>
        <w:tc>
          <w:tcPr>
            <w:tcW w:w="739" w:type="dxa"/>
            <w:vMerge w:val="continue"/>
            <w:tcBorders>
              <w:top w:val="nil"/>
              <w:left w:val="nil"/>
              <w:bottom w:val="single" w:color="000000" w:sz="4" w:space="0"/>
              <w:right w:val="single" w:color="000000" w:sz="4" w:space="0"/>
            </w:tcBorders>
            <w:vAlign w:val="center"/>
          </w:tcPr>
          <w:p w14:paraId="3A464BCE">
            <w:pPr>
              <w:rPr>
                <w:color w:val="000000" w:themeColor="text1"/>
                <w14:textFill>
                  <w14:solidFill>
                    <w14:schemeClr w14:val="tx1"/>
                  </w14:solidFill>
                </w14:textFill>
              </w:rPr>
            </w:pPr>
          </w:p>
        </w:tc>
        <w:tc>
          <w:tcPr>
            <w:tcW w:w="1809" w:type="dxa"/>
            <w:tcBorders>
              <w:top w:val="nil"/>
              <w:left w:val="nil"/>
              <w:bottom w:val="single" w:color="000000" w:sz="4" w:space="0"/>
              <w:right w:val="single" w:color="000000" w:sz="4" w:space="0"/>
            </w:tcBorders>
            <w:tcMar>
              <w:top w:w="0" w:type="dxa"/>
              <w:left w:w="60" w:type="dxa"/>
              <w:bottom w:w="0" w:type="dxa"/>
              <w:right w:w="60" w:type="dxa"/>
            </w:tcMar>
            <w:vAlign w:val="center"/>
          </w:tcPr>
          <w:p w14:paraId="7DA8286B">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园内绿化垃圾的收集及清运</w:t>
            </w:r>
          </w:p>
        </w:tc>
        <w:tc>
          <w:tcPr>
            <w:tcW w:w="2201" w:type="dxa"/>
            <w:vMerge w:val="continue"/>
            <w:tcBorders>
              <w:top w:val="nil"/>
              <w:left w:val="nil"/>
              <w:bottom w:val="nil"/>
              <w:right w:val="single" w:color="000000" w:sz="4" w:space="0"/>
            </w:tcBorders>
            <w:vAlign w:val="center"/>
          </w:tcPr>
          <w:p w14:paraId="3079871F">
            <w:pPr>
              <w:rPr>
                <w:color w:val="000000" w:themeColor="text1"/>
                <w14:textFill>
                  <w14:solidFill>
                    <w14:schemeClr w14:val="tx1"/>
                  </w14:solidFill>
                </w14:textFill>
              </w:rPr>
            </w:pPr>
          </w:p>
        </w:tc>
        <w:tc>
          <w:tcPr>
            <w:tcW w:w="2924" w:type="dxa"/>
            <w:vMerge w:val="continue"/>
            <w:tcBorders>
              <w:top w:val="nil"/>
              <w:left w:val="nil"/>
              <w:bottom w:val="outset" w:color="000000" w:sz="4" w:space="0"/>
              <w:right w:val="single" w:color="000000" w:sz="4" w:space="0"/>
            </w:tcBorders>
            <w:vAlign w:val="center"/>
          </w:tcPr>
          <w:p w14:paraId="1737A671">
            <w:pPr>
              <w:rPr>
                <w:color w:val="000000" w:themeColor="text1"/>
                <w14:textFill>
                  <w14:solidFill>
                    <w14:schemeClr w14:val="tx1"/>
                  </w14:solidFill>
                </w14:textFill>
              </w:rPr>
            </w:pPr>
          </w:p>
        </w:tc>
      </w:tr>
      <w:tr w14:paraId="58A616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center"/>
          </w:tcPr>
          <w:p w14:paraId="6C0F3F4D">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4</w:t>
            </w:r>
          </w:p>
        </w:tc>
        <w:tc>
          <w:tcPr>
            <w:tcW w:w="739"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41778BF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专项绿化养护</w:t>
            </w:r>
          </w:p>
        </w:tc>
        <w:tc>
          <w:tcPr>
            <w:tcW w:w="1809" w:type="dxa"/>
            <w:tcBorders>
              <w:top w:val="nil"/>
              <w:left w:val="nil"/>
              <w:bottom w:val="single" w:color="000000" w:sz="4" w:space="0"/>
              <w:right w:val="single" w:color="000000" w:sz="4" w:space="0"/>
            </w:tcBorders>
            <w:tcMar>
              <w:top w:w="0" w:type="dxa"/>
              <w:left w:w="60" w:type="dxa"/>
              <w:bottom w:w="0" w:type="dxa"/>
              <w:right w:w="60" w:type="dxa"/>
            </w:tcMar>
            <w:vAlign w:val="center"/>
          </w:tcPr>
          <w:p w14:paraId="56B70498">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植物移植、种植</w:t>
            </w:r>
          </w:p>
        </w:tc>
        <w:tc>
          <w:tcPr>
            <w:tcW w:w="2201" w:type="dxa"/>
            <w:vMerge w:val="continue"/>
            <w:tcBorders>
              <w:top w:val="nil"/>
              <w:left w:val="nil"/>
              <w:bottom w:val="nil"/>
              <w:right w:val="single" w:color="000000" w:sz="4" w:space="0"/>
            </w:tcBorders>
            <w:vAlign w:val="center"/>
          </w:tcPr>
          <w:p w14:paraId="07AB844D">
            <w:pPr>
              <w:rPr>
                <w:color w:val="000000" w:themeColor="text1"/>
                <w14:textFill>
                  <w14:solidFill>
                    <w14:schemeClr w14:val="tx1"/>
                  </w14:solidFill>
                </w14:textFill>
              </w:rPr>
            </w:pPr>
          </w:p>
        </w:tc>
        <w:tc>
          <w:tcPr>
            <w:tcW w:w="2924" w:type="dxa"/>
            <w:tcBorders>
              <w:top w:val="nil"/>
              <w:left w:val="nil"/>
              <w:bottom w:val="single" w:color="000000" w:sz="4" w:space="0"/>
              <w:right w:val="single" w:color="000000" w:sz="4" w:space="0"/>
            </w:tcBorders>
            <w:tcMar>
              <w:top w:w="0" w:type="dxa"/>
              <w:left w:w="60" w:type="dxa"/>
              <w:bottom w:w="0" w:type="dxa"/>
              <w:right w:w="60" w:type="dxa"/>
            </w:tcMar>
            <w:vAlign w:val="center"/>
          </w:tcPr>
          <w:p w14:paraId="5DF6968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公园内地被植物、草坪等需要小范围种植(每年不超过500㎡)，小乔木（胸径不超过15cm）需移植的(每年不超过200株)，应由中标人负责。</w:t>
            </w:r>
          </w:p>
        </w:tc>
      </w:tr>
      <w:tr w14:paraId="4C1674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3"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center"/>
          </w:tcPr>
          <w:p w14:paraId="0AAACBD7">
            <w:pPr>
              <w:pStyle w:val="6"/>
              <w:jc w:val="center"/>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5</w:t>
            </w:r>
          </w:p>
        </w:tc>
        <w:tc>
          <w:tcPr>
            <w:tcW w:w="739" w:type="dxa"/>
            <w:tcBorders>
              <w:top w:val="nil"/>
              <w:left w:val="nil"/>
              <w:bottom w:val="single" w:color="000000" w:sz="4" w:space="0"/>
              <w:right w:val="single" w:color="000000" w:sz="4" w:space="0"/>
            </w:tcBorders>
            <w:tcMar>
              <w:top w:w="0" w:type="dxa"/>
              <w:left w:w="60" w:type="dxa"/>
              <w:bottom w:w="0" w:type="dxa"/>
              <w:right w:w="60" w:type="dxa"/>
            </w:tcMar>
            <w:vAlign w:val="center"/>
          </w:tcPr>
          <w:p w14:paraId="492E5EA2">
            <w:pPr>
              <w:pStyle w:val="6"/>
              <w:jc w:val="center"/>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其他</w:t>
            </w:r>
          </w:p>
        </w:tc>
        <w:tc>
          <w:tcPr>
            <w:tcW w:w="1809" w:type="dxa"/>
            <w:tcBorders>
              <w:top w:val="nil"/>
              <w:left w:val="nil"/>
              <w:bottom w:val="single" w:color="000000" w:sz="4" w:space="0"/>
              <w:right w:val="single" w:color="000000" w:sz="4" w:space="0"/>
            </w:tcBorders>
            <w:tcMar>
              <w:top w:w="0" w:type="dxa"/>
              <w:left w:w="60" w:type="dxa"/>
              <w:bottom w:w="0" w:type="dxa"/>
              <w:right w:w="60" w:type="dxa"/>
            </w:tcMar>
            <w:vAlign w:val="center"/>
          </w:tcPr>
          <w:p w14:paraId="5A3B1B51">
            <w:pPr>
              <w:pStyle w:val="6"/>
              <w:jc w:val="center"/>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节日摆花</w:t>
            </w:r>
          </w:p>
        </w:tc>
        <w:tc>
          <w:tcPr>
            <w:tcW w:w="2201" w:type="dxa"/>
            <w:vMerge w:val="continue"/>
            <w:tcBorders>
              <w:top w:val="nil"/>
              <w:left w:val="nil"/>
              <w:bottom w:val="nil"/>
              <w:right w:val="single" w:color="000000" w:sz="4" w:space="0"/>
            </w:tcBorders>
            <w:vAlign w:val="center"/>
          </w:tcPr>
          <w:p w14:paraId="3DD5D56C">
            <w:pPr>
              <w:rPr>
                <w:color w:val="000000" w:themeColor="text1"/>
                <w14:textFill>
                  <w14:solidFill>
                    <w14:schemeClr w14:val="tx1"/>
                  </w14:solidFill>
                </w14:textFill>
              </w:rPr>
            </w:pPr>
          </w:p>
        </w:tc>
        <w:tc>
          <w:tcPr>
            <w:tcW w:w="2924" w:type="dxa"/>
            <w:tcBorders>
              <w:top w:val="nil"/>
              <w:left w:val="nil"/>
              <w:bottom w:val="single" w:color="000000" w:sz="4" w:space="0"/>
              <w:right w:val="single" w:color="000000" w:sz="4" w:space="0"/>
            </w:tcBorders>
            <w:tcMar>
              <w:top w:w="0" w:type="dxa"/>
              <w:left w:w="60" w:type="dxa"/>
              <w:bottom w:w="0" w:type="dxa"/>
              <w:right w:w="60" w:type="dxa"/>
            </w:tcMar>
            <w:vAlign w:val="center"/>
          </w:tcPr>
          <w:p w14:paraId="4E48FA79">
            <w:pPr>
              <w:pStyle w:val="6"/>
              <w:jc w:val="left"/>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①园区如有节日摆花，中标人应按采购人的方案要求进行，中标人每年需提供莳花种植面积合计不少于900㎡。所产生的费用包含在投标总价中</w:t>
            </w:r>
            <w:r>
              <w:rPr>
                <w:rFonts w:ascii="仿宋_GB2312" w:hAnsi="仿宋_GB2312" w:eastAsia="仿宋_GB2312" w:cs="仿宋_GB2312"/>
                <w:b/>
                <w:color w:val="000000" w:themeColor="text1"/>
                <w:sz w:val="20"/>
                <w:shd w:val="clear" w:fill="FFFFFF"/>
                <w14:textFill>
                  <w14:solidFill>
                    <w14:schemeClr w14:val="tx1"/>
                  </w14:solidFill>
                </w14:textFill>
              </w:rPr>
              <w:t>。</w:t>
            </w:r>
          </w:p>
          <w:p w14:paraId="0F5E1CF4">
            <w:pPr>
              <w:pStyle w:val="6"/>
              <w:jc w:val="left"/>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②公园节日摆花养护工作由中标人负责，费用不另予计算。</w:t>
            </w:r>
          </w:p>
          <w:p w14:paraId="5C510A3D">
            <w:pPr>
              <w:pStyle w:val="6"/>
              <w:jc w:val="left"/>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（投标时需要单独提供上述针对第①、②点的承诺函，否则按无效投标处理）</w:t>
            </w:r>
          </w:p>
        </w:tc>
      </w:tr>
      <w:tr w14:paraId="06D1A8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3"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center"/>
          </w:tcPr>
          <w:p w14:paraId="18CFE1F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6</w:t>
            </w:r>
          </w:p>
        </w:tc>
        <w:tc>
          <w:tcPr>
            <w:tcW w:w="739" w:type="dxa"/>
            <w:tcBorders>
              <w:top w:val="nil"/>
              <w:left w:val="nil"/>
              <w:bottom w:val="single" w:color="000000" w:sz="4" w:space="0"/>
              <w:right w:val="single" w:color="000000" w:sz="4" w:space="0"/>
            </w:tcBorders>
            <w:tcMar>
              <w:top w:w="0" w:type="dxa"/>
              <w:left w:w="60" w:type="dxa"/>
              <w:bottom w:w="0" w:type="dxa"/>
              <w:right w:w="60" w:type="dxa"/>
            </w:tcMar>
            <w:vAlign w:val="center"/>
          </w:tcPr>
          <w:p w14:paraId="5FF346DA">
            <w:pPr>
              <w:pStyle w:val="6"/>
              <w:jc w:val="center"/>
              <w:rPr>
                <w:color w:val="000000" w:themeColor="text1"/>
                <w14:textFill>
                  <w14:solidFill>
                    <w14:schemeClr w14:val="tx1"/>
                  </w14:solidFill>
                </w14:textFill>
              </w:rPr>
            </w:pPr>
          </w:p>
        </w:tc>
        <w:tc>
          <w:tcPr>
            <w:tcW w:w="1809" w:type="dxa"/>
            <w:tcBorders>
              <w:top w:val="nil"/>
              <w:left w:val="nil"/>
              <w:bottom w:val="single" w:color="000000" w:sz="4" w:space="0"/>
              <w:right w:val="single" w:color="000000" w:sz="4" w:space="0"/>
            </w:tcBorders>
            <w:tcMar>
              <w:top w:w="0" w:type="dxa"/>
              <w:left w:w="60" w:type="dxa"/>
              <w:bottom w:w="0" w:type="dxa"/>
              <w:right w:w="60" w:type="dxa"/>
            </w:tcMar>
            <w:vAlign w:val="center"/>
          </w:tcPr>
          <w:p w14:paraId="02B217BF">
            <w:pPr>
              <w:pStyle w:val="6"/>
              <w:jc w:val="center"/>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其他任务</w:t>
            </w:r>
          </w:p>
        </w:tc>
        <w:tc>
          <w:tcPr>
            <w:tcW w:w="2201" w:type="dxa"/>
            <w:vMerge w:val="continue"/>
            <w:tcBorders>
              <w:top w:val="nil"/>
              <w:left w:val="nil"/>
              <w:bottom w:val="nil"/>
              <w:right w:val="single" w:color="000000" w:sz="4" w:space="0"/>
            </w:tcBorders>
            <w:vAlign w:val="center"/>
          </w:tcPr>
          <w:p w14:paraId="55198AF4">
            <w:pPr>
              <w:rPr>
                <w:color w:val="000000" w:themeColor="text1"/>
                <w14:textFill>
                  <w14:solidFill>
                    <w14:schemeClr w14:val="tx1"/>
                  </w14:solidFill>
                </w14:textFill>
              </w:rPr>
            </w:pPr>
          </w:p>
        </w:tc>
        <w:tc>
          <w:tcPr>
            <w:tcW w:w="2924" w:type="dxa"/>
            <w:tcBorders>
              <w:top w:val="nil"/>
              <w:left w:val="nil"/>
              <w:bottom w:val="single" w:color="000000" w:sz="4" w:space="0"/>
              <w:right w:val="single" w:color="000000" w:sz="4" w:space="0"/>
            </w:tcBorders>
            <w:tcMar>
              <w:top w:w="0" w:type="dxa"/>
              <w:left w:w="60" w:type="dxa"/>
              <w:bottom w:w="0" w:type="dxa"/>
              <w:right w:w="60" w:type="dxa"/>
            </w:tcMar>
            <w:vAlign w:val="center"/>
          </w:tcPr>
          <w:p w14:paraId="3C72AB04">
            <w:pPr>
              <w:pStyle w:val="6"/>
              <w:jc w:val="left"/>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①中标人需根据采购人工作安排及需求，每年向采购人提供并种植1万粒郁金香种球，养护工作由中标人负责，所产生的费用包含在投标总价中</w:t>
            </w:r>
            <w:r>
              <w:rPr>
                <w:rFonts w:ascii="仿宋_GB2312" w:hAnsi="仿宋_GB2312" w:eastAsia="仿宋_GB2312" w:cs="仿宋_GB2312"/>
                <w:b/>
                <w:color w:val="000000" w:themeColor="text1"/>
                <w:sz w:val="20"/>
                <w:shd w:val="clear" w:fill="FFFFFF"/>
                <w14:textFill>
                  <w14:solidFill>
                    <w14:schemeClr w14:val="tx1"/>
                  </w14:solidFill>
                </w14:textFill>
              </w:rPr>
              <w:t>。</w:t>
            </w:r>
          </w:p>
          <w:p w14:paraId="502EC86E">
            <w:pPr>
              <w:pStyle w:val="6"/>
              <w:jc w:val="left"/>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②中标人需根据采购人工作安排及需求，每年三次草花播种，面积合计不少于13000㎡，具体播种品种、地点及面积以采购人要求为准。可选油菜花、波斯菊、硫化菊、百日草、向日葵等常见播种植物，养护工作由中标人负责，所产生的费用包含在投标总价中</w:t>
            </w:r>
            <w:r>
              <w:rPr>
                <w:rFonts w:ascii="仿宋_GB2312" w:hAnsi="仿宋_GB2312" w:eastAsia="仿宋_GB2312" w:cs="仿宋_GB2312"/>
                <w:b/>
                <w:color w:val="000000" w:themeColor="text1"/>
                <w:sz w:val="20"/>
                <w:shd w:val="clear" w:fill="FFFFFF"/>
                <w14:textFill>
                  <w14:solidFill>
                    <w14:schemeClr w14:val="tx1"/>
                  </w14:solidFill>
                </w14:textFill>
              </w:rPr>
              <w:t>。</w:t>
            </w:r>
          </w:p>
          <w:p w14:paraId="7D59A6DD">
            <w:pPr>
              <w:pStyle w:val="6"/>
              <w:jc w:val="left"/>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③中标人需根据采购人工作安排及需求，每年一次美丽月见草播种，面积合计3000㎡，养护工作由中标人负责，所产生的费用包含在投标总价中</w:t>
            </w:r>
            <w:r>
              <w:rPr>
                <w:rFonts w:ascii="仿宋_GB2312" w:hAnsi="仿宋_GB2312" w:eastAsia="仿宋_GB2312" w:cs="仿宋_GB2312"/>
                <w:b/>
                <w:color w:val="000000" w:themeColor="text1"/>
                <w:sz w:val="20"/>
                <w:shd w:val="clear" w:fill="FFFFFF"/>
                <w14:textFill>
                  <w14:solidFill>
                    <w14:schemeClr w14:val="tx1"/>
                  </w14:solidFill>
                </w14:textFill>
              </w:rPr>
              <w:t>。</w:t>
            </w:r>
          </w:p>
          <w:p w14:paraId="46203DA9">
            <w:pPr>
              <w:pStyle w:val="6"/>
              <w:jc w:val="left"/>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④每个考核年度提供100个免费工日。所产生的费用包含在投标总价中</w:t>
            </w:r>
            <w:r>
              <w:rPr>
                <w:rFonts w:ascii="仿宋_GB2312" w:hAnsi="仿宋_GB2312" w:eastAsia="仿宋_GB2312" w:cs="仿宋_GB2312"/>
                <w:b/>
                <w:color w:val="000000" w:themeColor="text1"/>
                <w:sz w:val="20"/>
                <w:shd w:val="clear" w:fill="FFFFFF"/>
                <w14:textFill>
                  <w14:solidFill>
                    <w14:schemeClr w14:val="tx1"/>
                  </w14:solidFill>
                </w14:textFill>
              </w:rPr>
              <w:t>。</w:t>
            </w:r>
          </w:p>
          <w:p w14:paraId="17ED51CB">
            <w:pPr>
              <w:pStyle w:val="6"/>
              <w:jc w:val="left"/>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（投标时需要单独提供上述针对第①、②、③、④点的承诺函，否则按无效投标处理）</w:t>
            </w:r>
          </w:p>
        </w:tc>
      </w:tr>
    </w:tbl>
    <w:p w14:paraId="179D1A15">
      <w:pPr>
        <w:pStyle w:val="6"/>
        <w:ind w:firstLine="405"/>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w:t>
      </w:r>
      <w:r>
        <w:rPr>
          <w:rFonts w:ascii="仿宋_GB2312" w:hAnsi="仿宋_GB2312" w:eastAsia="仿宋_GB2312" w:cs="仿宋_GB2312"/>
          <w:b/>
          <w:color w:val="000000" w:themeColor="text1"/>
          <w:sz w:val="20"/>
          <w14:textFill>
            <w14:solidFill>
              <w14:schemeClr w14:val="tx1"/>
            </w14:solidFill>
          </w14:textFill>
        </w:rPr>
        <w:t>序号7：</w:t>
      </w:r>
      <w:r>
        <w:rPr>
          <w:rFonts w:ascii="仿宋_GB2312" w:hAnsi="仿宋_GB2312" w:eastAsia="仿宋_GB2312" w:cs="仿宋_GB2312"/>
          <w:b/>
          <w:color w:val="000000" w:themeColor="text1"/>
          <w:sz w:val="20"/>
          <w:shd w:val="clear" w:fill="FFFFFF"/>
          <w14:textFill>
            <w14:solidFill>
              <w14:schemeClr w14:val="tx1"/>
            </w14:solidFill>
          </w14:textFill>
        </w:rPr>
        <w:t>抢险救灾：</w:t>
      </w:r>
      <w:r>
        <w:rPr>
          <w:rFonts w:ascii="仿宋_GB2312" w:hAnsi="仿宋_GB2312" w:eastAsia="仿宋_GB2312" w:cs="仿宋_GB2312"/>
          <w:b/>
          <w:color w:val="000000" w:themeColor="text1"/>
          <w:sz w:val="20"/>
          <w14:textFill>
            <w14:solidFill>
              <w14:schemeClr w14:val="tx1"/>
            </w14:solidFill>
          </w14:textFill>
        </w:rPr>
        <w:t>如遇突击性工作任务时，中标人应积极支持配合采购人工作。在台风等重大自然灾害期间的抢险救灾任务时，中标人须承诺现场抢险须满足但不限于以下设备（投标时需要单独提供承诺函，否则按无效投标处理。）</w:t>
      </w:r>
    </w:p>
    <w:p w14:paraId="6F3CC1A0">
      <w:pPr>
        <w:pStyle w:val="6"/>
        <w:ind w:firstLine="405"/>
        <w:rPr>
          <w:color w:val="000000" w:themeColor="text1"/>
          <w14:textFill>
            <w14:solidFill>
              <w14:schemeClr w14:val="tx1"/>
            </w14:solidFill>
          </w14:textFill>
        </w:rPr>
      </w:pPr>
      <w:r>
        <w:rPr>
          <w:rFonts w:ascii="仿宋_GB2312" w:hAnsi="仿宋_GB2312" w:eastAsia="仿宋_GB2312" w:cs="仿宋_GB2312"/>
          <w:b/>
          <w:color w:val="000000" w:themeColor="text1"/>
          <w:sz w:val="20"/>
          <w:shd w:val="clear" w:fill="FFFFFF"/>
          <w14:textFill>
            <w14:solidFill>
              <w14:schemeClr w14:val="tx1"/>
            </w14:solidFill>
          </w14:textFill>
        </w:rPr>
        <w:t>(1)抢险人数不少于60人；</w:t>
      </w:r>
    </w:p>
    <w:p w14:paraId="09904377">
      <w:pPr>
        <w:pStyle w:val="6"/>
        <w:ind w:firstLine="405"/>
        <w:rPr>
          <w:color w:val="000000" w:themeColor="text1"/>
          <w14:textFill>
            <w14:solidFill>
              <w14:schemeClr w14:val="tx1"/>
            </w14:solidFill>
          </w14:textFill>
        </w:rPr>
      </w:pPr>
      <w:r>
        <w:rPr>
          <w:rFonts w:ascii="仿宋_GB2312" w:hAnsi="仿宋_GB2312" w:eastAsia="仿宋_GB2312" w:cs="仿宋_GB2312"/>
          <w:b/>
          <w:color w:val="000000" w:themeColor="text1"/>
          <w:sz w:val="20"/>
          <w:shd w:val="clear" w:fill="FFFFFF"/>
          <w14:textFill>
            <w14:solidFill>
              <w14:schemeClr w14:val="tx1"/>
            </w14:solidFill>
          </w14:textFill>
        </w:rPr>
        <w:t>(2)2.5T及以上的垃圾清运车不少于5辆；</w:t>
      </w:r>
    </w:p>
    <w:p w14:paraId="13B708D1">
      <w:pPr>
        <w:pStyle w:val="6"/>
        <w:ind w:firstLine="405"/>
        <w:rPr>
          <w:color w:val="000000" w:themeColor="text1"/>
          <w14:textFill>
            <w14:solidFill>
              <w14:schemeClr w14:val="tx1"/>
            </w14:solidFill>
          </w14:textFill>
        </w:rPr>
      </w:pPr>
      <w:r>
        <w:rPr>
          <w:rFonts w:ascii="仿宋_GB2312" w:hAnsi="仿宋_GB2312" w:eastAsia="仿宋_GB2312" w:cs="仿宋_GB2312"/>
          <w:b/>
          <w:color w:val="000000" w:themeColor="text1"/>
          <w:sz w:val="20"/>
          <w:shd w:val="clear" w:fill="FFFFFF"/>
          <w14:textFill>
            <w14:solidFill>
              <w14:schemeClr w14:val="tx1"/>
            </w14:solidFill>
          </w14:textFill>
        </w:rPr>
        <w:t>(3)油锯不少于10把；</w:t>
      </w:r>
    </w:p>
    <w:p w14:paraId="45F25FB9">
      <w:pPr>
        <w:pStyle w:val="6"/>
        <w:ind w:firstLine="405"/>
        <w:rPr>
          <w:color w:val="000000" w:themeColor="text1"/>
          <w14:textFill>
            <w14:solidFill>
              <w14:schemeClr w14:val="tx1"/>
            </w14:solidFill>
          </w14:textFill>
        </w:rPr>
      </w:pPr>
      <w:r>
        <w:rPr>
          <w:rFonts w:ascii="仿宋_GB2312" w:hAnsi="仿宋_GB2312" w:eastAsia="仿宋_GB2312" w:cs="仿宋_GB2312"/>
          <w:b/>
          <w:color w:val="000000" w:themeColor="text1"/>
          <w:sz w:val="20"/>
          <w:shd w:val="clear" w:fill="FFFFFF"/>
          <w14:textFill>
            <w14:solidFill>
              <w14:schemeClr w14:val="tx1"/>
            </w14:solidFill>
          </w14:textFill>
        </w:rPr>
        <w:t>(4)抽水泵不少于6台；</w:t>
      </w:r>
    </w:p>
    <w:p w14:paraId="6F3393B1">
      <w:pPr>
        <w:pStyle w:val="6"/>
        <w:ind w:firstLine="405"/>
        <w:rPr>
          <w:color w:val="000000" w:themeColor="text1"/>
          <w14:textFill>
            <w14:solidFill>
              <w14:schemeClr w14:val="tx1"/>
            </w14:solidFill>
          </w14:textFill>
        </w:rPr>
      </w:pPr>
      <w:r>
        <w:rPr>
          <w:rFonts w:ascii="仿宋_GB2312" w:hAnsi="仿宋_GB2312" w:eastAsia="仿宋_GB2312" w:cs="仿宋_GB2312"/>
          <w:b/>
          <w:color w:val="000000" w:themeColor="text1"/>
          <w:sz w:val="20"/>
          <w:shd w:val="clear" w:fill="FFFFFF"/>
          <w14:textFill>
            <w14:solidFill>
              <w14:schemeClr w14:val="tx1"/>
            </w14:solidFill>
          </w14:textFill>
        </w:rPr>
        <w:t>(5)发电机不少于4台；</w:t>
      </w:r>
    </w:p>
    <w:p w14:paraId="6A497CE3">
      <w:pPr>
        <w:pStyle w:val="6"/>
        <w:ind w:firstLine="402"/>
        <w:rPr>
          <w:color w:val="000000" w:themeColor="text1"/>
          <w14:textFill>
            <w14:solidFill>
              <w14:schemeClr w14:val="tx1"/>
            </w14:solidFill>
          </w14:textFill>
        </w:rPr>
      </w:pPr>
      <w:r>
        <w:rPr>
          <w:rFonts w:ascii="仿宋_GB2312" w:hAnsi="仿宋_GB2312" w:eastAsia="仿宋_GB2312" w:cs="仿宋_GB2312"/>
          <w:b/>
          <w:color w:val="000000" w:themeColor="text1"/>
          <w:sz w:val="20"/>
          <w:shd w:val="clear" w:fill="FFFFFF"/>
          <w14:textFill>
            <w14:solidFill>
              <w14:schemeClr w14:val="tx1"/>
            </w14:solidFill>
          </w14:textFill>
        </w:rPr>
        <w:t>(6)高空修剪车不少于1辆；</w:t>
      </w:r>
    </w:p>
    <w:p w14:paraId="6C9172DC">
      <w:pPr>
        <w:pStyle w:val="6"/>
        <w:ind w:firstLine="402"/>
        <w:rPr>
          <w:color w:val="000000" w:themeColor="text1"/>
          <w14:textFill>
            <w14:solidFill>
              <w14:schemeClr w14:val="tx1"/>
            </w14:solidFill>
          </w14:textFill>
        </w:rPr>
      </w:pPr>
      <w:r>
        <w:rPr>
          <w:rFonts w:ascii="仿宋_GB2312" w:hAnsi="仿宋_GB2312" w:eastAsia="仿宋_GB2312" w:cs="仿宋_GB2312"/>
          <w:b/>
          <w:color w:val="000000" w:themeColor="text1"/>
          <w:sz w:val="20"/>
          <w:shd w:val="clear" w:fill="FFFFFF"/>
          <w14:textFill>
            <w14:solidFill>
              <w14:schemeClr w14:val="tx1"/>
            </w14:solidFill>
          </w14:textFill>
        </w:rPr>
        <w:t>(7)吊车不少于3辆。</w:t>
      </w:r>
    </w:p>
    <w:p w14:paraId="65417ADE">
      <w:pPr>
        <w:pStyle w:val="6"/>
        <w:ind w:firstLine="480"/>
        <w:rPr>
          <w:rFonts w:hint="eastAsia" w:eastAsia="仿宋_GB2312"/>
          <w:color w:val="000000" w:themeColor="text1"/>
          <w:lang w:eastAsia="zh-CN"/>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[评分项3]</w:t>
      </w:r>
      <w:r>
        <w:rPr>
          <w:rFonts w:ascii="仿宋_GB2312" w:hAnsi="仿宋_GB2312" w:eastAsia="仿宋_GB2312" w:cs="仿宋_GB2312"/>
          <w:color w:val="000000" w:themeColor="text1"/>
          <w:sz w:val="20"/>
          <w14:textFill>
            <w14:solidFill>
              <w14:schemeClr w14:val="tx1"/>
            </w14:solidFill>
          </w14:textFill>
        </w:rPr>
        <w:t>序号8：</w:t>
      </w:r>
      <w:r>
        <w:rPr>
          <w:rFonts w:ascii="仿宋_GB2312" w:hAnsi="仿宋_GB2312" w:eastAsia="仿宋_GB2312" w:cs="仿宋_GB2312"/>
          <w:color w:val="000000" w:themeColor="text1"/>
          <w:sz w:val="20"/>
          <w:shd w:val="clear" w:fill="FFFFFF"/>
          <w14:textFill>
            <w14:solidFill>
              <w14:schemeClr w14:val="tx1"/>
            </w14:solidFill>
          </w14:textFill>
        </w:rPr>
        <w:t>安全责任：中标人必须重视安全生产，确保不出安全责任事故。养护期间，养护工人由于操作不规范等因素造成的安全责任事故，由中标人承担一切责任。</w:t>
      </w:r>
      <w:r>
        <w:rPr>
          <w:rFonts w:hint="eastAsia" w:ascii="仿宋_GB2312" w:hAnsi="仿宋_GB2312" w:eastAsia="仿宋_GB2312" w:cs="仿宋_GB2312"/>
          <w:color w:val="000000" w:themeColor="text1"/>
          <w:sz w:val="20"/>
          <w:shd w:val="clear" w:fill="FFFFFF"/>
          <w14:textFill>
            <w14:solidFill>
              <w14:schemeClr w14:val="tx1"/>
            </w14:solidFill>
          </w14:textFill>
        </w:rPr>
        <w:t>如因树木安全问题导致游客受伤的，由中标单位购买的公众责任险赔付</w:t>
      </w:r>
      <w:r>
        <w:rPr>
          <w:rFonts w:hint="eastAsia" w:ascii="仿宋_GB2312" w:hAnsi="仿宋_GB2312" w:eastAsia="仿宋_GB2312" w:cs="仿宋_GB2312"/>
          <w:color w:val="000000" w:themeColor="text1"/>
          <w:sz w:val="20"/>
          <w:shd w:val="clear" w:fill="FFFFFF"/>
          <w:lang w:eastAsia="zh-CN"/>
          <w14:textFill>
            <w14:solidFill>
              <w14:schemeClr w14:val="tx1"/>
            </w14:solidFill>
          </w14:textFill>
        </w:rPr>
        <w:t>。</w:t>
      </w:r>
    </w:p>
    <w:p w14:paraId="0421B03A">
      <w:pPr>
        <w:pStyle w:val="6"/>
        <w:ind w:firstLine="480"/>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[评分项4]</w:t>
      </w:r>
      <w:r>
        <w:rPr>
          <w:rFonts w:ascii="仿宋_GB2312" w:hAnsi="仿宋_GB2312" w:eastAsia="仿宋_GB2312" w:cs="仿宋_GB2312"/>
          <w:color w:val="000000" w:themeColor="text1"/>
          <w:sz w:val="20"/>
          <w14:textFill>
            <w14:solidFill>
              <w14:schemeClr w14:val="tx1"/>
            </w14:solidFill>
          </w14:textFill>
        </w:rPr>
        <w:t>序号9：</w:t>
      </w:r>
      <w:r>
        <w:rPr>
          <w:rFonts w:ascii="仿宋_GB2312" w:hAnsi="仿宋_GB2312" w:eastAsia="仿宋_GB2312" w:cs="仿宋_GB2312"/>
          <w:color w:val="000000" w:themeColor="text1"/>
          <w:sz w:val="20"/>
          <w:shd w:val="clear" w:fill="FFFFFF"/>
          <w14:textFill>
            <w14:solidFill>
              <w14:schemeClr w14:val="tx1"/>
            </w14:solidFill>
          </w14:textFill>
        </w:rPr>
        <w:t>植保工作：病虫害防治、薇甘菊、菟丝子、红火蚁、白蚂蚁、胡蜂、马蜂等外来检疫性有害生物的清理和防治的费用由中标人负责。</w:t>
      </w:r>
    </w:p>
    <w:p w14:paraId="59D79572">
      <w:pPr>
        <w:pStyle w:val="6"/>
        <w:ind w:firstLine="405"/>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[评分项5]</w:t>
      </w:r>
      <w:r>
        <w:rPr>
          <w:rFonts w:ascii="仿宋_GB2312" w:hAnsi="仿宋_GB2312" w:eastAsia="仿宋_GB2312" w:cs="仿宋_GB2312"/>
          <w:color w:val="000000" w:themeColor="text1"/>
          <w:sz w:val="20"/>
          <w14:textFill>
            <w14:solidFill>
              <w14:schemeClr w14:val="tx1"/>
            </w14:solidFill>
          </w14:textFill>
        </w:rPr>
        <w:t>序号10：</w:t>
      </w:r>
      <w:r>
        <w:rPr>
          <w:rFonts w:ascii="仿宋_GB2312" w:hAnsi="仿宋_GB2312" w:eastAsia="仿宋_GB2312" w:cs="仿宋_GB2312"/>
          <w:color w:val="000000" w:themeColor="text1"/>
          <w:sz w:val="20"/>
          <w:shd w:val="clear" w:fill="FFFFFF"/>
          <w14:textFill>
            <w14:solidFill>
              <w14:schemeClr w14:val="tx1"/>
            </w14:solidFill>
          </w14:textFill>
        </w:rPr>
        <w:t>中标方负责大树安全隐患的排查及处置工作。大树修剪、施肥及农药的使用需经采购人同意。</w:t>
      </w:r>
    </w:p>
    <w:p w14:paraId="27634060">
      <w:pPr>
        <w:pStyle w:val="6"/>
        <w:ind w:firstLine="405"/>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（三）对人员的要求</w:t>
      </w:r>
    </w:p>
    <w:p w14:paraId="1AE6C577">
      <w:pPr>
        <w:pStyle w:val="6"/>
        <w:ind w:firstLine="405"/>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[评分项6]</w:t>
      </w:r>
      <w:r>
        <w:rPr>
          <w:rFonts w:ascii="仿宋_GB2312" w:hAnsi="仿宋_GB2312" w:eastAsia="仿宋_GB2312" w:cs="仿宋_GB2312"/>
          <w:color w:val="000000" w:themeColor="text1"/>
          <w:sz w:val="20"/>
          <w14:textFill>
            <w14:solidFill>
              <w14:schemeClr w14:val="tx1"/>
            </w14:solidFill>
          </w14:textFill>
        </w:rPr>
        <w:t>序号11：</w:t>
      </w:r>
      <w:r>
        <w:rPr>
          <w:rFonts w:ascii="仿宋_GB2312" w:hAnsi="仿宋_GB2312" w:eastAsia="仿宋_GB2312" w:cs="仿宋_GB2312"/>
          <w:color w:val="000000" w:themeColor="text1"/>
          <w:sz w:val="20"/>
          <w:shd w:val="clear" w:fill="FFFFFF"/>
          <w14:textFill>
            <w14:solidFill>
              <w14:schemeClr w14:val="tx1"/>
            </w14:solidFill>
          </w14:textFill>
        </w:rPr>
        <w:t>服务范围内的绿化养护工作，中标人根据双方合同规定的职位及人数向公园派驻足够的养护服务人员，提供合同规定的服务内容。所有员工的招聘、录／退用由中标人负责。中标人在正式进场前7天，需将项目负责人、技术负责人和现场管理员的资料交采购人报备。无特殊原因不得擅自改动,确需改动,要征求采购人确认后方可进行。未经采购人通知和同意，中标人不得随意更改上班作息时间和调换增减所属员工。</w:t>
      </w:r>
    </w:p>
    <w:p w14:paraId="2E24442B">
      <w:pPr>
        <w:pStyle w:val="6"/>
        <w:ind w:firstLine="345"/>
        <w:rPr>
          <w:rFonts w:hint="default" w:eastAsia="仿宋_GB2312"/>
          <w:b w:val="0"/>
          <w:bCs w:val="0"/>
          <w:color w:val="000000" w:themeColor="text1"/>
          <w:lang w:val="en-US" w:eastAsia="zh-CN"/>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[评分项7]</w:t>
      </w:r>
      <w:r>
        <w:rPr>
          <w:rFonts w:ascii="仿宋_GB2312" w:hAnsi="仿宋_GB2312" w:eastAsia="仿宋_GB2312" w:cs="仿宋_GB2312"/>
          <w:color w:val="000000" w:themeColor="text1"/>
          <w:sz w:val="20"/>
          <w14:textFill>
            <w14:solidFill>
              <w14:schemeClr w14:val="tx1"/>
            </w14:solidFill>
          </w14:textFill>
        </w:rPr>
        <w:t>序号12：</w:t>
      </w:r>
      <w:r>
        <w:rPr>
          <w:rFonts w:ascii="仿宋_GB2312" w:hAnsi="仿宋_GB2312" w:eastAsia="仿宋_GB2312" w:cs="仿宋_GB2312"/>
          <w:color w:val="000000" w:themeColor="text1"/>
          <w:sz w:val="20"/>
          <w:shd w:val="clear" w:fill="FFFFFF"/>
          <w14:textFill>
            <w14:solidFill>
              <w14:schemeClr w14:val="tx1"/>
            </w14:solidFill>
          </w14:textFill>
        </w:rPr>
        <w:t>所有人员的岗位配备，由中标人负责提供详细说明计划，必须以报告形式告知采购人，中标人所派遣的所有人员必须经过采购人审核通过后才能进场。中标人必须为本项目配备1名项目负责人、1名技术负责人、2名现场管理员、1名植保专业技术人员、31名作业人员（应包含持有绿化工或花卉工或花卉园艺师相关证书的作业人员</w:t>
      </w:r>
      <w:r>
        <w:rPr>
          <w:rFonts w:hint="eastAsia" w:ascii="仿宋_GB2312" w:hAnsi="仿宋_GB2312" w:eastAsia="仿宋_GB2312" w:cs="仿宋_GB2312"/>
          <w:color w:val="000000" w:themeColor="text1"/>
          <w:sz w:val="20"/>
          <w:shd w:val="clear" w:fill="FFFFFF"/>
          <w:lang w:val="en-US" w:eastAsia="zh-CN"/>
          <w14:textFill>
            <w14:solidFill>
              <w14:schemeClr w14:val="tx1"/>
            </w14:solidFill>
          </w14:textFill>
        </w:rPr>
        <w:t>及至少1名观光车驾驶员</w:t>
      </w:r>
      <w:r>
        <w:rPr>
          <w:rFonts w:ascii="仿宋_GB2312" w:hAnsi="仿宋_GB2312" w:eastAsia="仿宋_GB2312" w:cs="仿宋_GB2312"/>
          <w:color w:val="000000" w:themeColor="text1"/>
          <w:sz w:val="20"/>
          <w:shd w:val="clear" w:fill="FFFFFF"/>
          <w14:textFill>
            <w14:solidFill>
              <w14:schemeClr w14:val="tx1"/>
            </w14:solidFill>
          </w14:textFill>
        </w:rPr>
        <w:t>）、1名水电工（负责项目相关设施设备的维修维护）</w:t>
      </w:r>
      <w:r>
        <w:rPr>
          <w:rFonts w:hint="eastAsia" w:ascii="仿宋_GB2312" w:hAnsi="仿宋_GB2312" w:eastAsia="仿宋_GB2312" w:cs="仿宋_GB2312"/>
          <w:color w:val="000000" w:themeColor="text1"/>
          <w:sz w:val="20"/>
          <w:shd w:val="clear" w:fill="FFFFFF"/>
          <w:lang w:eastAsia="zh-CN"/>
          <w14:textFill>
            <w14:solidFill>
              <w14:schemeClr w14:val="tx1"/>
            </w14:solidFill>
          </w14:textFill>
        </w:rPr>
        <w:t>。</w:t>
      </w:r>
      <w:r>
        <w:rPr>
          <w:rFonts w:ascii="仿宋_GB2312" w:hAnsi="仿宋_GB2312" w:eastAsia="仿宋_GB2312" w:cs="仿宋_GB2312"/>
          <w:color w:val="000000" w:themeColor="text1"/>
          <w:sz w:val="20"/>
          <w:shd w:val="clear" w:fill="FFFFFF"/>
          <w14:textFill>
            <w14:solidFill>
              <w14:schemeClr w14:val="tx1"/>
            </w14:solidFill>
          </w14:textFill>
        </w:rPr>
        <w:t>日常养护中标人必须保证31名作业人员每天到岗（包括节日、双休日），工作时间为8小时/天。采购人</w:t>
      </w:r>
      <w:r>
        <w:rPr>
          <w:rFonts w:ascii="仿宋_GB2312" w:hAnsi="仿宋_GB2312" w:eastAsia="仿宋_GB2312" w:cs="仿宋_GB2312"/>
          <w:color w:val="000000" w:themeColor="text1"/>
          <w:sz w:val="20"/>
          <w14:textFill>
            <w14:solidFill>
              <w14:schemeClr w14:val="tx1"/>
            </w14:solidFill>
          </w14:textFill>
        </w:rPr>
        <w:t>每月对绿化养护人员到位情况进行考核，</w:t>
      </w:r>
      <w:r>
        <w:rPr>
          <w:rFonts w:ascii="仿宋_GB2312" w:hAnsi="仿宋_GB2312" w:eastAsia="仿宋_GB2312" w:cs="仿宋_GB2312"/>
          <w:color w:val="000000" w:themeColor="text1"/>
          <w:sz w:val="20"/>
          <w:shd w:val="clear" w:fill="FFFFFF"/>
          <w14:textFill>
            <w14:solidFill>
              <w14:schemeClr w14:val="tx1"/>
            </w14:solidFill>
          </w14:textFill>
        </w:rPr>
        <w:t>如未按要求到岗，采购人有权视情况按500-2000元/人次进行扣款，并在当期考核周期中进行扣分。</w:t>
      </w:r>
      <w:r>
        <w:rPr>
          <w:rFonts w:hint="eastAsia" w:ascii="仿宋_GB2312" w:hAnsi="仿宋_GB2312" w:eastAsia="仿宋_GB2312" w:cs="仿宋_GB2312"/>
          <w:b w:val="0"/>
          <w:bCs w:val="0"/>
          <w:color w:val="000000" w:themeColor="text1"/>
          <w:sz w:val="20"/>
          <w:shd w:val="clear" w:fill="FFFFFF"/>
          <w14:textFill>
            <w14:solidFill>
              <w14:schemeClr w14:val="tx1"/>
            </w14:solidFill>
          </w14:textFill>
        </w:rPr>
        <w:t>因长条带状公园特点，日常巡园、应急处置使用观光车频率较高，</w:t>
      </w:r>
      <w:r>
        <w:rPr>
          <w:rFonts w:hint="eastAsia" w:ascii="仿宋_GB2312" w:hAnsi="仿宋_GB2312" w:eastAsia="仿宋_GB2312" w:cs="仿宋_GB2312"/>
          <w:b w:val="0"/>
          <w:bCs w:val="0"/>
          <w:color w:val="000000" w:themeColor="text1"/>
          <w:sz w:val="20"/>
          <w:shd w:val="clear" w:fill="FFFFFF"/>
          <w:lang w:val="en-US" w:eastAsia="zh-CN"/>
          <w14:textFill>
            <w14:solidFill>
              <w14:schemeClr w14:val="tx1"/>
            </w14:solidFill>
          </w14:textFill>
        </w:rPr>
        <w:t>中标人需配备至少1名观光车驾驶员，在中标人项目进场养护一个月内</w:t>
      </w:r>
      <w:r>
        <w:rPr>
          <w:rFonts w:hint="eastAsia" w:ascii="仿宋_GB2312" w:hAnsi="仿宋_GB2312" w:eastAsia="仿宋_GB2312" w:cs="仿宋_GB2312"/>
          <w:b w:val="0"/>
          <w:bCs w:val="0"/>
          <w:color w:val="000000" w:themeColor="text1"/>
          <w:sz w:val="20"/>
          <w:shd w:val="clear" w:fill="FFFFFF"/>
          <w14:textFill>
            <w14:solidFill>
              <w14:schemeClr w14:val="tx1"/>
            </w14:solidFill>
          </w14:textFill>
        </w:rPr>
        <w:t>配备</w:t>
      </w:r>
      <w:r>
        <w:rPr>
          <w:rFonts w:hint="eastAsia" w:ascii="仿宋_GB2312" w:hAnsi="仿宋_GB2312" w:eastAsia="仿宋_GB2312" w:cs="仿宋_GB2312"/>
          <w:b w:val="0"/>
          <w:bCs w:val="0"/>
          <w:color w:val="000000" w:themeColor="text1"/>
          <w:sz w:val="20"/>
          <w:shd w:val="clear" w:fill="FFFFFF"/>
          <w:lang w:val="en-US" w:eastAsia="zh-CN"/>
          <w14:textFill>
            <w14:solidFill>
              <w14:schemeClr w14:val="tx1"/>
            </w14:solidFill>
          </w14:textFill>
        </w:rPr>
        <w:t>齐全</w:t>
      </w:r>
      <w:r>
        <w:rPr>
          <w:rFonts w:hint="eastAsia" w:ascii="仿宋_GB2312" w:hAnsi="仿宋_GB2312" w:eastAsia="仿宋_GB2312" w:cs="仿宋_GB2312"/>
          <w:b w:val="0"/>
          <w:bCs w:val="0"/>
          <w:color w:val="000000" w:themeColor="text1"/>
          <w:sz w:val="20"/>
          <w:shd w:val="clear" w:fill="FFFFFF"/>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0"/>
          <w:shd w:val="clear" w:fill="FFFFFF"/>
          <w:lang w:val="en-US" w:eastAsia="zh-CN"/>
          <w14:textFill>
            <w14:solidFill>
              <w14:schemeClr w14:val="tx1"/>
            </w14:solidFill>
          </w14:textFill>
        </w:rPr>
        <w:t>中标人所配的观光车驾驶员需</w:t>
      </w:r>
      <w:r>
        <w:rPr>
          <w:rFonts w:hint="eastAsia" w:ascii="仿宋_GB2312" w:hAnsi="仿宋_GB2312" w:eastAsia="仿宋_GB2312" w:cs="仿宋_GB2312"/>
          <w:b w:val="0"/>
          <w:bCs w:val="0"/>
          <w:color w:val="000000" w:themeColor="text1"/>
          <w:sz w:val="20"/>
          <w:shd w:val="clear" w:fill="FFFFFF"/>
          <w14:textFill>
            <w14:solidFill>
              <w14:schemeClr w14:val="tx1"/>
            </w14:solidFill>
          </w14:textFill>
        </w:rPr>
        <w:t>具有政府部门颁发的特种设备安全管理和作业人员证书（项目代号N2观光车和观光列车司机）</w:t>
      </w:r>
      <w:r>
        <w:rPr>
          <w:rFonts w:hint="eastAsia" w:ascii="仿宋_GB2312" w:hAnsi="仿宋_GB2312" w:eastAsia="仿宋_GB2312" w:cs="仿宋_GB2312"/>
          <w:b w:val="0"/>
          <w:bCs w:val="0"/>
          <w:color w:val="000000" w:themeColor="text1"/>
          <w:sz w:val="20"/>
          <w:shd w:val="clear" w:fill="FFFFFF"/>
          <w:lang w:eastAsia="zh-CN"/>
          <w14:textFill>
            <w14:solidFill>
              <w14:schemeClr w14:val="tx1"/>
            </w14:solidFill>
          </w14:textFill>
        </w:rPr>
        <w:t>。</w:t>
      </w:r>
      <w:r>
        <w:rPr>
          <w:rFonts w:hint="eastAsia" w:ascii="仿宋_GB2312" w:hAnsi="仿宋_GB2312" w:eastAsia="仿宋_GB2312" w:cs="仿宋_GB2312"/>
          <w:b/>
          <w:bCs/>
          <w:color w:val="000000" w:themeColor="text1"/>
          <w:sz w:val="20"/>
          <w:shd w:val="clear" w:fill="FFFFFF"/>
          <w:lang w:val="en-US" w:eastAsia="zh-CN"/>
          <w14:textFill>
            <w14:solidFill>
              <w14:schemeClr w14:val="tx1"/>
            </w14:solidFill>
          </w14:textFill>
        </w:rPr>
        <w:t>针对本条评分项，投标人需在投标文件中提供承诺函，承诺函格式自拟，未提供承诺函的本评分项不得分。</w:t>
      </w:r>
    </w:p>
    <w:p w14:paraId="406A03FB">
      <w:pPr>
        <w:pStyle w:val="6"/>
        <w:ind w:firstLine="345"/>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[评分项8]</w:t>
      </w:r>
      <w:r>
        <w:rPr>
          <w:rFonts w:ascii="仿宋_GB2312" w:hAnsi="仿宋_GB2312" w:eastAsia="仿宋_GB2312" w:cs="仿宋_GB2312"/>
          <w:color w:val="000000" w:themeColor="text1"/>
          <w:sz w:val="20"/>
          <w14:textFill>
            <w14:solidFill>
              <w14:schemeClr w14:val="tx1"/>
            </w14:solidFill>
          </w14:textFill>
        </w:rPr>
        <w:t>序号13：</w:t>
      </w:r>
      <w:r>
        <w:rPr>
          <w:rFonts w:ascii="仿宋_GB2312" w:hAnsi="仿宋_GB2312" w:eastAsia="仿宋_GB2312" w:cs="仿宋_GB2312"/>
          <w:color w:val="000000" w:themeColor="text1"/>
          <w:sz w:val="20"/>
          <w:shd w:val="clear" w:fill="FFFFFF"/>
          <w14:textFill>
            <w14:solidFill>
              <w14:schemeClr w14:val="tx1"/>
            </w14:solidFill>
          </w14:textFill>
        </w:rPr>
        <w:t>中标人需满足景观提升改造工程及氛围布置工作等采购人的各项需求，包括但不限于无人机操作、基础摄影、视频制作、方案设计、施工实施、效果优化等环节；同时，按需提供具备熟练操作CAD、PS等专业软件能力的设计人员、制图人员及后期处理人员，以保障项目设计图纸绘制、效果图制作等工作完成，确保项目成果达到采购人预期标准。</w:t>
      </w:r>
    </w:p>
    <w:p w14:paraId="52A49161">
      <w:pPr>
        <w:pStyle w:val="6"/>
        <w:ind w:firstLine="345"/>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[评分项9]</w:t>
      </w:r>
      <w:r>
        <w:rPr>
          <w:rFonts w:ascii="仿宋_GB2312" w:hAnsi="仿宋_GB2312" w:eastAsia="仿宋_GB2312" w:cs="仿宋_GB2312"/>
          <w:color w:val="000000" w:themeColor="text1"/>
          <w:sz w:val="20"/>
          <w:shd w:val="clear" w:fill="FFFFFF"/>
          <w14:textFill>
            <w14:solidFill>
              <w14:schemeClr w14:val="tx1"/>
            </w14:solidFill>
          </w14:textFill>
        </w:rPr>
        <w:t>序号14：项目负责人和技术负责人应为园林绿化相关专业工程师，现场管理员应为园林绿化相关专业助理工程师。</w:t>
      </w:r>
    </w:p>
    <w:p w14:paraId="4B8A4FEF">
      <w:pPr>
        <w:pStyle w:val="6"/>
        <w:ind w:firstLine="345"/>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按《关于贯彻执行《园林绿化工程建设管理规定》的通知》（闽建办风景〔2018〕11号）的规定，园林绿化专业是指园林、园林施工、园林规划设计、园林植物、风景园林、园林绿化、园艺、景观、环境艺术、市政园林等专业。</w:t>
      </w:r>
    </w:p>
    <w:p w14:paraId="3B9B6CB3">
      <w:pPr>
        <w:pStyle w:val="6"/>
        <w:ind w:firstLine="405"/>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[评分项10]</w:t>
      </w:r>
      <w:r>
        <w:rPr>
          <w:rFonts w:ascii="仿宋_GB2312" w:hAnsi="仿宋_GB2312" w:eastAsia="仿宋_GB2312" w:cs="仿宋_GB2312"/>
          <w:color w:val="000000" w:themeColor="text1"/>
          <w:sz w:val="20"/>
          <w14:textFill>
            <w14:solidFill>
              <w14:schemeClr w14:val="tx1"/>
            </w14:solidFill>
          </w14:textFill>
        </w:rPr>
        <w:t>序号15：</w:t>
      </w:r>
      <w:r>
        <w:rPr>
          <w:rFonts w:ascii="仿宋_GB2312" w:hAnsi="仿宋_GB2312" w:eastAsia="仿宋_GB2312" w:cs="仿宋_GB2312"/>
          <w:color w:val="000000" w:themeColor="text1"/>
          <w:sz w:val="20"/>
          <w:shd w:val="clear" w:fill="FFFFFF"/>
          <w14:textFill>
            <w14:solidFill>
              <w14:schemeClr w14:val="tx1"/>
            </w14:solidFill>
          </w14:textFill>
        </w:rPr>
        <w:t>更换项目负责人、技术负责人和现场管理员必须征得采购人的同意，如未经采购人的同意更换人员，采购人将按以下标准核减养护服务费：更换项目负责人或技术负责人核减10000元；更换现场管理员核减3000元。派驻人员需服从采购人的管理，如派驻人员不能配合采购人开展工作，或给采购人造成不良影响的，采购人有权要求更换派驻人员，且不减免人员更换的赔偿费用。</w:t>
      </w:r>
    </w:p>
    <w:p w14:paraId="76CA2605">
      <w:pPr>
        <w:pStyle w:val="6"/>
        <w:ind w:firstLine="405"/>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[评分项11]</w:t>
      </w:r>
      <w:r>
        <w:rPr>
          <w:rFonts w:ascii="仿宋_GB2312" w:hAnsi="仿宋_GB2312" w:eastAsia="仿宋_GB2312" w:cs="仿宋_GB2312"/>
          <w:color w:val="000000" w:themeColor="text1"/>
          <w:sz w:val="20"/>
          <w14:textFill>
            <w14:solidFill>
              <w14:schemeClr w14:val="tx1"/>
            </w14:solidFill>
          </w14:textFill>
        </w:rPr>
        <w:t>序号16：</w:t>
      </w:r>
      <w:r>
        <w:rPr>
          <w:rFonts w:ascii="仿宋_GB2312" w:hAnsi="仿宋_GB2312" w:eastAsia="仿宋_GB2312" w:cs="仿宋_GB2312"/>
          <w:color w:val="000000" w:themeColor="text1"/>
          <w:sz w:val="20"/>
          <w:shd w:val="clear" w:fill="FFFFFF"/>
          <w14:textFill>
            <w14:solidFill>
              <w14:schemeClr w14:val="tx1"/>
            </w14:solidFill>
          </w14:textFill>
        </w:rPr>
        <w:t>关于人员更换的事宜，均以书面通知或书面申请为准。</w:t>
      </w:r>
    </w:p>
    <w:p w14:paraId="777D7DBB">
      <w:pPr>
        <w:pStyle w:val="6"/>
        <w:ind w:firstLine="402" w:firstLineChars="200"/>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[评分项12]</w:t>
      </w:r>
      <w:r>
        <w:rPr>
          <w:rFonts w:ascii="仿宋_GB2312" w:hAnsi="仿宋_GB2312" w:eastAsia="仿宋_GB2312" w:cs="仿宋_GB2312"/>
          <w:color w:val="000000" w:themeColor="text1"/>
          <w:sz w:val="20"/>
          <w14:textFill>
            <w14:solidFill>
              <w14:schemeClr w14:val="tx1"/>
            </w14:solidFill>
          </w14:textFill>
        </w:rPr>
        <w:t>序号17：</w:t>
      </w:r>
      <w:r>
        <w:rPr>
          <w:rFonts w:ascii="仿宋_GB2312" w:hAnsi="仿宋_GB2312" w:eastAsia="仿宋_GB2312" w:cs="仿宋_GB2312"/>
          <w:color w:val="000000" w:themeColor="text1"/>
          <w:sz w:val="20"/>
          <w:shd w:val="clear" w:fill="FFFFFF"/>
          <w14:textFill>
            <w14:solidFill>
              <w14:schemeClr w14:val="tx1"/>
            </w14:solidFill>
          </w14:textFill>
        </w:rPr>
        <w:t>中标人的员工公假、事假、病假以及所有假期劳动争议、纠纷均由中标人负责。中标人员工如有任何假期，中标人必须保证养护人员应满足状态，要及时派人补充。如遇任务繁重或特殊气候要求（强台风、特大暴雨等）需要突击性完成工作任务时，投标人应服从采购人有关人员指挥，并按采购人要求增加人力或延长工作时间以保证工作按质按量按时完成，费用另计。</w:t>
      </w:r>
    </w:p>
    <w:p w14:paraId="0B0E0D58">
      <w:pPr>
        <w:pStyle w:val="6"/>
        <w:ind w:firstLine="405"/>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★序号18：</w:t>
      </w:r>
      <w:r>
        <w:rPr>
          <w:rFonts w:ascii="仿宋_GB2312" w:hAnsi="仿宋_GB2312" w:eastAsia="仿宋_GB2312" w:cs="仿宋_GB2312"/>
          <w:b/>
          <w:color w:val="000000" w:themeColor="text1"/>
          <w:sz w:val="20"/>
          <w:shd w:val="clear" w:fill="FFFFFF"/>
          <w14:textFill>
            <w14:solidFill>
              <w14:schemeClr w14:val="tx1"/>
            </w14:solidFill>
          </w14:textFill>
        </w:rPr>
        <w:t>中标人在合同有效期内必须办理派驻人员的人身意外保险或雇主责任险，并提供相应资料供采购人查验。</w:t>
      </w:r>
      <w:r>
        <w:rPr>
          <w:rFonts w:ascii="仿宋_GB2312" w:hAnsi="仿宋_GB2312" w:eastAsia="仿宋_GB2312" w:cs="仿宋_GB2312"/>
          <w:b/>
          <w:color w:val="000000" w:themeColor="text1"/>
          <w:sz w:val="20"/>
          <w14:textFill>
            <w14:solidFill>
              <w14:schemeClr w14:val="tx1"/>
            </w14:solidFill>
          </w14:textFill>
        </w:rPr>
        <w:t>投标人须提供承诺函，否则按无效投标处理。</w:t>
      </w:r>
    </w:p>
    <w:p w14:paraId="15B195AC">
      <w:pPr>
        <w:pStyle w:val="6"/>
        <w:ind w:firstLine="345"/>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★序号19：</w:t>
      </w:r>
      <w:r>
        <w:rPr>
          <w:rFonts w:ascii="仿宋_GB2312" w:hAnsi="仿宋_GB2312" w:eastAsia="仿宋_GB2312" w:cs="仿宋_GB2312"/>
          <w:b/>
          <w:color w:val="000000" w:themeColor="text1"/>
          <w:sz w:val="20"/>
          <w:shd w:val="clear" w:fill="FFFFFF"/>
          <w14:textFill>
            <w14:solidFill>
              <w14:schemeClr w14:val="tx1"/>
            </w14:solidFill>
          </w14:textFill>
        </w:rPr>
        <w:t>本次采购项目所配备的人员年龄不得高于国家法定退休年龄。所投入本项目的员工工资每人每月不得低于福州市最低工资标准。</w:t>
      </w:r>
      <w:r>
        <w:rPr>
          <w:rFonts w:ascii="仿宋_GB2312" w:hAnsi="仿宋_GB2312" w:eastAsia="仿宋_GB2312" w:cs="仿宋_GB2312"/>
          <w:b/>
          <w:color w:val="000000" w:themeColor="text1"/>
          <w:sz w:val="20"/>
          <w14:textFill>
            <w14:solidFill>
              <w14:schemeClr w14:val="tx1"/>
            </w14:solidFill>
          </w14:textFill>
        </w:rPr>
        <w:t>投标人须提供承诺函，否则按无效投标处理。</w:t>
      </w:r>
    </w:p>
    <w:p w14:paraId="510826A6">
      <w:pPr>
        <w:pStyle w:val="6"/>
        <w:ind w:firstLine="40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（四）对工具物料的要求</w:t>
      </w:r>
    </w:p>
    <w:p w14:paraId="03C02676">
      <w:pPr>
        <w:pStyle w:val="6"/>
        <w:ind w:firstLine="480"/>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[评分项13]</w:t>
      </w:r>
      <w:r>
        <w:rPr>
          <w:rFonts w:ascii="仿宋_GB2312" w:hAnsi="仿宋_GB2312" w:eastAsia="仿宋_GB2312" w:cs="仿宋_GB2312"/>
          <w:color w:val="000000" w:themeColor="text1"/>
          <w:sz w:val="20"/>
          <w14:textFill>
            <w14:solidFill>
              <w14:schemeClr w14:val="tx1"/>
            </w14:solidFill>
          </w14:textFill>
        </w:rPr>
        <w:t>序号20：中标人必须按采购人的要求存放一定品种、数量和完好能正常使用的工具、机械，</w:t>
      </w:r>
      <w:r>
        <w:rPr>
          <w:rFonts w:ascii="仿宋_GB2312" w:hAnsi="仿宋_GB2312" w:eastAsia="仿宋_GB2312" w:cs="仿宋_GB2312"/>
          <w:color w:val="000000" w:themeColor="text1"/>
          <w:sz w:val="20"/>
          <w:shd w:val="clear" w:fill="FFFFFF"/>
          <w14:textFill>
            <w14:solidFill>
              <w14:schemeClr w14:val="tx1"/>
            </w14:solidFill>
          </w14:textFill>
        </w:rPr>
        <w:t>包括背负式割草机</w:t>
      </w:r>
      <w:r>
        <w:rPr>
          <w:rFonts w:ascii="仿宋_GB2312" w:hAnsi="仿宋_GB2312" w:eastAsia="仿宋_GB2312" w:cs="仿宋_GB2312"/>
          <w:color w:val="000000" w:themeColor="text1"/>
          <w:sz w:val="20"/>
          <w:u w:val="single"/>
          <w:shd w:val="clear" w:fill="FFFFFF"/>
          <w14:textFill>
            <w14:solidFill>
              <w14:schemeClr w14:val="tx1"/>
            </w14:solidFill>
          </w14:textFill>
        </w:rPr>
        <w:t xml:space="preserve"> 10</w:t>
      </w:r>
      <w:r>
        <w:rPr>
          <w:rFonts w:ascii="仿宋_GB2312" w:hAnsi="仿宋_GB2312" w:eastAsia="仿宋_GB2312" w:cs="仿宋_GB2312"/>
          <w:color w:val="000000" w:themeColor="text1"/>
          <w:sz w:val="20"/>
          <w:shd w:val="clear" w:fill="FFFFFF"/>
          <w14:textFill>
            <w14:solidFill>
              <w14:schemeClr w14:val="tx1"/>
            </w14:solidFill>
          </w14:textFill>
        </w:rPr>
        <w:t>台、草坪吹风机</w:t>
      </w:r>
      <w:r>
        <w:rPr>
          <w:rFonts w:ascii="仿宋_GB2312" w:hAnsi="仿宋_GB2312" w:eastAsia="仿宋_GB2312" w:cs="仿宋_GB2312"/>
          <w:color w:val="000000" w:themeColor="text1"/>
          <w:sz w:val="20"/>
          <w:u w:val="single"/>
          <w:shd w:val="clear" w:fill="FFFFFF"/>
          <w14:textFill>
            <w14:solidFill>
              <w14:schemeClr w14:val="tx1"/>
            </w14:solidFill>
          </w14:textFill>
        </w:rPr>
        <w:t>3</w:t>
      </w:r>
      <w:r>
        <w:rPr>
          <w:rFonts w:ascii="仿宋_GB2312" w:hAnsi="仿宋_GB2312" w:eastAsia="仿宋_GB2312" w:cs="仿宋_GB2312"/>
          <w:color w:val="000000" w:themeColor="text1"/>
          <w:sz w:val="20"/>
          <w:shd w:val="clear" w:fill="FFFFFF"/>
          <w14:textFill>
            <w14:solidFill>
              <w14:schemeClr w14:val="tx1"/>
            </w14:solidFill>
          </w14:textFill>
        </w:rPr>
        <w:t>台、绿篱机</w:t>
      </w:r>
      <w:r>
        <w:rPr>
          <w:rFonts w:ascii="仿宋_GB2312" w:hAnsi="仿宋_GB2312" w:eastAsia="仿宋_GB2312" w:cs="仿宋_GB2312"/>
          <w:color w:val="000000" w:themeColor="text1"/>
          <w:sz w:val="20"/>
          <w:u w:val="single"/>
          <w:shd w:val="clear" w:fill="FFFFFF"/>
          <w14:textFill>
            <w14:solidFill>
              <w14:schemeClr w14:val="tx1"/>
            </w14:solidFill>
          </w14:textFill>
        </w:rPr>
        <w:t xml:space="preserve"> 5 </w:t>
      </w:r>
      <w:r>
        <w:rPr>
          <w:rFonts w:ascii="仿宋_GB2312" w:hAnsi="仿宋_GB2312" w:eastAsia="仿宋_GB2312" w:cs="仿宋_GB2312"/>
          <w:color w:val="000000" w:themeColor="text1"/>
          <w:sz w:val="20"/>
          <w:shd w:val="clear" w:fill="FFFFFF"/>
          <w14:textFill>
            <w14:solidFill>
              <w14:schemeClr w14:val="tx1"/>
            </w14:solidFill>
          </w14:textFill>
        </w:rPr>
        <w:t>台、手推式高压喷药车</w:t>
      </w:r>
      <w:r>
        <w:rPr>
          <w:rFonts w:ascii="仿宋_GB2312" w:hAnsi="仿宋_GB2312" w:eastAsia="仿宋_GB2312" w:cs="仿宋_GB2312"/>
          <w:color w:val="000000" w:themeColor="text1"/>
          <w:sz w:val="20"/>
          <w:u w:val="single"/>
          <w:shd w:val="clear" w:fill="FFFFFF"/>
          <w14:textFill>
            <w14:solidFill>
              <w14:schemeClr w14:val="tx1"/>
            </w14:solidFill>
          </w14:textFill>
        </w:rPr>
        <w:t>1</w:t>
      </w:r>
      <w:r>
        <w:rPr>
          <w:rFonts w:ascii="仿宋_GB2312" w:hAnsi="仿宋_GB2312" w:eastAsia="仿宋_GB2312" w:cs="仿宋_GB2312"/>
          <w:color w:val="000000" w:themeColor="text1"/>
          <w:sz w:val="20"/>
          <w:shd w:val="clear" w:fill="FFFFFF"/>
          <w14:textFill>
            <w14:solidFill>
              <w14:schemeClr w14:val="tx1"/>
            </w14:solidFill>
          </w14:textFill>
        </w:rPr>
        <w:t>台、大油锯</w:t>
      </w:r>
      <w:r>
        <w:rPr>
          <w:rFonts w:ascii="仿宋_GB2312" w:hAnsi="仿宋_GB2312" w:eastAsia="仿宋_GB2312" w:cs="仿宋_GB2312"/>
          <w:color w:val="000000" w:themeColor="text1"/>
          <w:sz w:val="20"/>
          <w:u w:val="single"/>
          <w:shd w:val="clear" w:fill="FFFFFF"/>
          <w14:textFill>
            <w14:solidFill>
              <w14:schemeClr w14:val="tx1"/>
            </w14:solidFill>
          </w14:textFill>
        </w:rPr>
        <w:t>3</w:t>
      </w:r>
      <w:r>
        <w:rPr>
          <w:rFonts w:ascii="仿宋_GB2312" w:hAnsi="仿宋_GB2312" w:eastAsia="仿宋_GB2312" w:cs="仿宋_GB2312"/>
          <w:color w:val="000000" w:themeColor="text1"/>
          <w:sz w:val="20"/>
          <w:shd w:val="clear" w:fill="FFFFFF"/>
          <w14:textFill>
            <w14:solidFill>
              <w14:schemeClr w14:val="tx1"/>
            </w14:solidFill>
          </w14:textFill>
        </w:rPr>
        <w:t>把、小油锯</w:t>
      </w:r>
      <w:r>
        <w:rPr>
          <w:rFonts w:ascii="仿宋_GB2312" w:hAnsi="仿宋_GB2312" w:eastAsia="仿宋_GB2312" w:cs="仿宋_GB2312"/>
          <w:color w:val="000000" w:themeColor="text1"/>
          <w:sz w:val="20"/>
          <w:u w:val="single"/>
          <w:shd w:val="clear" w:fill="FFFFFF"/>
          <w14:textFill>
            <w14:solidFill>
              <w14:schemeClr w14:val="tx1"/>
            </w14:solidFill>
          </w14:textFill>
        </w:rPr>
        <w:t>4</w:t>
      </w:r>
      <w:r>
        <w:rPr>
          <w:rFonts w:ascii="仿宋_GB2312" w:hAnsi="仿宋_GB2312" w:eastAsia="仿宋_GB2312" w:cs="仿宋_GB2312"/>
          <w:color w:val="000000" w:themeColor="text1"/>
          <w:sz w:val="20"/>
          <w:shd w:val="clear" w:fill="FFFFFF"/>
          <w14:textFill>
            <w14:solidFill>
              <w14:schemeClr w14:val="tx1"/>
            </w14:solidFill>
          </w14:textFill>
        </w:rPr>
        <w:t>把、高枝油锯</w:t>
      </w:r>
      <w:r>
        <w:rPr>
          <w:rFonts w:ascii="仿宋_GB2312" w:hAnsi="仿宋_GB2312" w:eastAsia="仿宋_GB2312" w:cs="仿宋_GB2312"/>
          <w:color w:val="000000" w:themeColor="text1"/>
          <w:sz w:val="20"/>
          <w:u w:val="single"/>
          <w:shd w:val="clear" w:fill="FFFFFF"/>
          <w14:textFill>
            <w14:solidFill>
              <w14:schemeClr w14:val="tx1"/>
            </w14:solidFill>
          </w14:textFill>
        </w:rPr>
        <w:t>2</w:t>
      </w:r>
      <w:r>
        <w:rPr>
          <w:rFonts w:ascii="仿宋_GB2312" w:hAnsi="仿宋_GB2312" w:eastAsia="仿宋_GB2312" w:cs="仿宋_GB2312"/>
          <w:color w:val="000000" w:themeColor="text1"/>
          <w:sz w:val="20"/>
          <w:shd w:val="clear" w:fill="FFFFFF"/>
          <w14:textFill>
            <w14:solidFill>
              <w14:schemeClr w14:val="tx1"/>
            </w14:solidFill>
          </w14:textFill>
        </w:rPr>
        <w:t>把、抽水泵</w:t>
      </w:r>
      <w:r>
        <w:rPr>
          <w:rFonts w:ascii="仿宋_GB2312" w:hAnsi="仿宋_GB2312" w:eastAsia="仿宋_GB2312" w:cs="仿宋_GB2312"/>
          <w:color w:val="000000" w:themeColor="text1"/>
          <w:sz w:val="20"/>
          <w:u w:val="single"/>
          <w:shd w:val="clear" w:fill="FFFFFF"/>
          <w14:textFill>
            <w14:solidFill>
              <w14:schemeClr w14:val="tx1"/>
            </w14:solidFill>
          </w14:textFill>
        </w:rPr>
        <w:t>4台</w:t>
      </w:r>
      <w:r>
        <w:rPr>
          <w:rFonts w:ascii="仿宋_GB2312" w:hAnsi="仿宋_GB2312" w:eastAsia="仿宋_GB2312" w:cs="仿宋_GB2312"/>
          <w:color w:val="000000" w:themeColor="text1"/>
          <w:sz w:val="20"/>
          <w:shd w:val="clear" w:fill="FFFFFF"/>
          <w14:textFill>
            <w14:solidFill>
              <w14:schemeClr w14:val="tx1"/>
            </w14:solidFill>
          </w14:textFill>
        </w:rPr>
        <w:t>、树枝粉碎机</w:t>
      </w:r>
      <w:r>
        <w:rPr>
          <w:rFonts w:ascii="仿宋_GB2312" w:hAnsi="仿宋_GB2312" w:eastAsia="仿宋_GB2312" w:cs="仿宋_GB2312"/>
          <w:color w:val="000000" w:themeColor="text1"/>
          <w:sz w:val="20"/>
          <w:u w:val="single"/>
          <w:shd w:val="clear" w:fill="FFFFFF"/>
          <w14:textFill>
            <w14:solidFill>
              <w14:schemeClr w14:val="tx1"/>
            </w14:solidFill>
          </w14:textFill>
        </w:rPr>
        <w:t>2</w:t>
      </w:r>
      <w:r>
        <w:rPr>
          <w:rFonts w:ascii="仿宋_GB2312" w:hAnsi="仿宋_GB2312" w:eastAsia="仿宋_GB2312" w:cs="仿宋_GB2312"/>
          <w:color w:val="000000" w:themeColor="text1"/>
          <w:sz w:val="20"/>
          <w:shd w:val="clear" w:fill="FFFFFF"/>
          <w14:textFill>
            <w14:solidFill>
              <w14:schemeClr w14:val="tx1"/>
            </w14:solidFill>
          </w14:textFill>
        </w:rPr>
        <w:t>台、厢式货车（核定载质量≥2.5T）</w:t>
      </w:r>
      <w:r>
        <w:rPr>
          <w:rFonts w:ascii="仿宋_GB2312" w:hAnsi="仿宋_GB2312" w:eastAsia="仿宋_GB2312" w:cs="仿宋_GB2312"/>
          <w:color w:val="000000" w:themeColor="text1"/>
          <w:sz w:val="20"/>
          <w:u w:val="single"/>
          <w:shd w:val="clear" w:fill="FFFFFF"/>
          <w14:textFill>
            <w14:solidFill>
              <w14:schemeClr w14:val="tx1"/>
            </w14:solidFill>
          </w14:textFill>
        </w:rPr>
        <w:t xml:space="preserve"> 1 </w:t>
      </w:r>
      <w:r>
        <w:rPr>
          <w:rFonts w:ascii="仿宋_GB2312" w:hAnsi="仿宋_GB2312" w:eastAsia="仿宋_GB2312" w:cs="仿宋_GB2312"/>
          <w:color w:val="000000" w:themeColor="text1"/>
          <w:sz w:val="20"/>
          <w:shd w:val="clear" w:fill="FFFFFF"/>
          <w14:textFill>
            <w14:solidFill>
              <w14:schemeClr w14:val="tx1"/>
            </w14:solidFill>
          </w14:textFill>
        </w:rPr>
        <w:t>辆、工具车</w:t>
      </w:r>
      <w:r>
        <w:rPr>
          <w:rFonts w:ascii="仿宋_GB2312" w:hAnsi="仿宋_GB2312" w:eastAsia="仿宋_GB2312" w:cs="仿宋_GB2312"/>
          <w:color w:val="000000" w:themeColor="text1"/>
          <w:sz w:val="20"/>
          <w:u w:val="single"/>
          <w:shd w:val="clear" w:fill="FFFFFF"/>
          <w14:textFill>
            <w14:solidFill>
              <w14:schemeClr w14:val="tx1"/>
            </w14:solidFill>
          </w14:textFill>
        </w:rPr>
        <w:t>2</w:t>
      </w:r>
      <w:r>
        <w:rPr>
          <w:rFonts w:ascii="仿宋_GB2312" w:hAnsi="仿宋_GB2312" w:eastAsia="仿宋_GB2312" w:cs="仿宋_GB2312"/>
          <w:color w:val="000000" w:themeColor="text1"/>
          <w:sz w:val="20"/>
          <w:shd w:val="clear" w:fill="FFFFFF"/>
          <w14:textFill>
            <w14:solidFill>
              <w14:schemeClr w14:val="tx1"/>
            </w14:solidFill>
          </w14:textFill>
        </w:rPr>
        <w:t>辆、洒水车（核定载质量≥5T）</w:t>
      </w:r>
      <w:r>
        <w:rPr>
          <w:rFonts w:ascii="仿宋_GB2312" w:hAnsi="仿宋_GB2312" w:eastAsia="仿宋_GB2312" w:cs="仿宋_GB2312"/>
          <w:color w:val="000000" w:themeColor="text1"/>
          <w:sz w:val="20"/>
          <w:u w:val="single"/>
          <w:shd w:val="clear" w:fill="FFFFFF"/>
          <w14:textFill>
            <w14:solidFill>
              <w14:schemeClr w14:val="tx1"/>
            </w14:solidFill>
          </w14:textFill>
        </w:rPr>
        <w:t xml:space="preserve"> 1 </w:t>
      </w:r>
      <w:r>
        <w:rPr>
          <w:rFonts w:ascii="仿宋_GB2312" w:hAnsi="仿宋_GB2312" w:eastAsia="仿宋_GB2312" w:cs="仿宋_GB2312"/>
          <w:color w:val="000000" w:themeColor="text1"/>
          <w:sz w:val="20"/>
          <w:shd w:val="clear" w:fill="FFFFFF"/>
          <w14:textFill>
            <w14:solidFill>
              <w14:schemeClr w14:val="tx1"/>
            </w14:solidFill>
          </w14:textFill>
        </w:rPr>
        <w:t>辆、吊车</w:t>
      </w:r>
      <w:r>
        <w:rPr>
          <w:rFonts w:ascii="仿宋_GB2312" w:hAnsi="仿宋_GB2312" w:eastAsia="仿宋_GB2312" w:cs="仿宋_GB2312"/>
          <w:color w:val="000000" w:themeColor="text1"/>
          <w:sz w:val="20"/>
          <w:u w:val="single"/>
          <w:shd w:val="clear" w:fill="FFFFFF"/>
          <w14:textFill>
            <w14:solidFill>
              <w14:schemeClr w14:val="tx1"/>
            </w14:solidFill>
          </w14:textFill>
        </w:rPr>
        <w:t xml:space="preserve">_1 </w:t>
      </w:r>
      <w:r>
        <w:rPr>
          <w:rFonts w:ascii="仿宋_GB2312" w:hAnsi="仿宋_GB2312" w:eastAsia="仿宋_GB2312" w:cs="仿宋_GB2312"/>
          <w:color w:val="000000" w:themeColor="text1"/>
          <w:sz w:val="20"/>
          <w:shd w:val="clear" w:fill="FFFFFF"/>
          <w14:textFill>
            <w14:solidFill>
              <w14:schemeClr w14:val="tx1"/>
            </w14:solidFill>
          </w14:textFill>
        </w:rPr>
        <w:t>辆、</w:t>
      </w:r>
      <w:r>
        <w:rPr>
          <w:rFonts w:ascii="仿宋_GB2312" w:hAnsi="仿宋_GB2312" w:eastAsia="仿宋_GB2312" w:cs="仿宋_GB2312"/>
          <w:color w:val="000000" w:themeColor="text1"/>
          <w:sz w:val="20"/>
          <w14:textFill>
            <w14:solidFill>
              <w14:schemeClr w14:val="tx1"/>
            </w14:solidFill>
          </w14:textFill>
        </w:rPr>
        <w:t>高空修剪车</w:t>
      </w:r>
      <w:r>
        <w:rPr>
          <w:rFonts w:ascii="仿宋_GB2312" w:hAnsi="仿宋_GB2312" w:eastAsia="仿宋_GB2312" w:cs="仿宋_GB2312"/>
          <w:color w:val="000000" w:themeColor="text1"/>
          <w:sz w:val="20"/>
          <w:u w:val="single"/>
          <w:shd w:val="clear" w:fill="FFFFFF"/>
          <w14:textFill>
            <w14:solidFill>
              <w14:schemeClr w14:val="tx1"/>
            </w14:solidFill>
          </w14:textFill>
        </w:rPr>
        <w:t xml:space="preserve"> 1 </w:t>
      </w:r>
      <w:r>
        <w:rPr>
          <w:rFonts w:ascii="仿宋_GB2312" w:hAnsi="仿宋_GB2312" w:eastAsia="仿宋_GB2312" w:cs="仿宋_GB2312"/>
          <w:color w:val="000000" w:themeColor="text1"/>
          <w:sz w:val="20"/>
          <w:shd w:val="clear" w:fill="FFFFFF"/>
          <w14:textFill>
            <w14:solidFill>
              <w14:schemeClr w14:val="tx1"/>
            </w14:solidFill>
          </w14:textFill>
        </w:rPr>
        <w:t>辆、垃圾清运车（核定载质量≥5T）</w:t>
      </w:r>
      <w:r>
        <w:rPr>
          <w:rFonts w:ascii="仿宋_GB2312" w:hAnsi="仿宋_GB2312" w:eastAsia="仿宋_GB2312" w:cs="仿宋_GB2312"/>
          <w:color w:val="000000" w:themeColor="text1"/>
          <w:sz w:val="20"/>
          <w:u w:val="single"/>
          <w:shd w:val="clear" w:fill="FFFFFF"/>
          <w14:textFill>
            <w14:solidFill>
              <w14:schemeClr w14:val="tx1"/>
            </w14:solidFill>
          </w14:textFill>
        </w:rPr>
        <w:t xml:space="preserve"> 1 </w:t>
      </w:r>
      <w:r>
        <w:rPr>
          <w:rFonts w:ascii="仿宋_GB2312" w:hAnsi="仿宋_GB2312" w:eastAsia="仿宋_GB2312" w:cs="仿宋_GB2312"/>
          <w:color w:val="000000" w:themeColor="text1"/>
          <w:sz w:val="20"/>
          <w:shd w:val="clear" w:fill="FFFFFF"/>
          <w14:textFill>
            <w14:solidFill>
              <w14:schemeClr w14:val="tx1"/>
            </w14:solidFill>
          </w14:textFill>
        </w:rPr>
        <w:t>辆、两轮电动车 1</w:t>
      </w:r>
      <w:r>
        <w:rPr>
          <w:rFonts w:ascii="仿宋_GB2312" w:hAnsi="仿宋_GB2312" w:eastAsia="仿宋_GB2312" w:cs="仿宋_GB2312"/>
          <w:color w:val="000000" w:themeColor="text1"/>
          <w:u w:val="single"/>
          <w14:textFill>
            <w14:solidFill>
              <w14:schemeClr w14:val="tx1"/>
            </w14:solidFill>
          </w14:textFill>
        </w:rPr>
        <w:t xml:space="preserve">  </w:t>
      </w:r>
      <w:r>
        <w:rPr>
          <w:rFonts w:ascii="仿宋_GB2312" w:hAnsi="仿宋_GB2312" w:eastAsia="仿宋_GB2312" w:cs="仿宋_GB2312"/>
          <w:color w:val="000000" w:themeColor="text1"/>
          <w:sz w:val="20"/>
          <w:shd w:val="clear" w:fill="FFFFFF"/>
          <w14:textFill>
            <w14:solidFill>
              <w14:schemeClr w14:val="tx1"/>
            </w14:solidFill>
          </w14:textFill>
        </w:rPr>
        <w:t>辆等工作需的各种工具和物料，以保证管理工作的顺利开展。</w:t>
      </w:r>
    </w:p>
    <w:p w14:paraId="436C9873">
      <w:pPr>
        <w:pStyle w:val="6"/>
        <w:ind w:firstLine="405"/>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物料、工具、器械、养护车辆的堆放场地由采购人负责，保管工作由中标人负责，如有遗失或因管理不当造成的损失和赔偿均有中标人承担。</w:t>
      </w:r>
    </w:p>
    <w:p w14:paraId="101A6DB3">
      <w:pPr>
        <w:pStyle w:val="6"/>
        <w:ind w:firstLine="48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以上设备签订合同之前由采购人检验后，双方签订合同。</w:t>
      </w:r>
    </w:p>
    <w:p w14:paraId="21F3B614">
      <w:pPr>
        <w:pStyle w:val="6"/>
        <w:ind w:firstLine="345"/>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sz w:val="20"/>
          <w:shd w:val="clear" w:fill="FFFFFF"/>
          <w14:textFill>
            <w14:solidFill>
              <w14:schemeClr w14:val="tx1"/>
            </w14:solidFill>
          </w14:textFill>
        </w:rPr>
        <w:t>（五）养护要求</w:t>
      </w:r>
    </w:p>
    <w:p w14:paraId="1EFDCE05">
      <w:pPr>
        <w:pStyle w:val="6"/>
        <w:ind w:firstLine="530" w:firstLineChars="264"/>
        <w:rPr>
          <w:rFonts w:hint="eastAsia" w:eastAsia="仿宋_GB2312"/>
          <w:color w:val="000000" w:themeColor="text1"/>
          <w:lang w:eastAsia="zh-CN"/>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[评分项14]</w:t>
      </w:r>
      <w:r>
        <w:rPr>
          <w:rFonts w:ascii="仿宋_GB2312" w:hAnsi="仿宋_GB2312" w:eastAsia="仿宋_GB2312" w:cs="仿宋_GB2312"/>
          <w:color w:val="000000" w:themeColor="text1"/>
          <w:sz w:val="20"/>
          <w14:textFill>
            <w14:solidFill>
              <w14:schemeClr w14:val="tx1"/>
            </w14:solidFill>
          </w14:textFill>
        </w:rPr>
        <w:t>序号21：按照福州市园林中心颁布的《福州市市管公园绿化分级养护质量考核办法（试行）》二级养护质量标准、《福州市乌龙江公园（不含沙滩公园）绿化养护质量标准及评分细则》中的养护质量标准执行。开花植物（包括美丽异木棉、蓝花楹、黄花风铃木、碧桃、三角梅、小叶紫薇等）植株生长健壮、茎干粗壮、花型美观、花色鲜艳、花期整齐、景观效果良好。</w:t>
      </w:r>
    </w:p>
    <w:p w14:paraId="5E0124B8">
      <w:pPr>
        <w:pStyle w:val="6"/>
        <w:ind w:firstLine="405"/>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[评分项15]</w:t>
      </w:r>
      <w:r>
        <w:rPr>
          <w:rFonts w:ascii="仿宋_GB2312" w:hAnsi="仿宋_GB2312" w:eastAsia="仿宋_GB2312" w:cs="仿宋_GB2312"/>
          <w:color w:val="000000" w:themeColor="text1"/>
          <w:sz w:val="20"/>
          <w14:textFill>
            <w14:solidFill>
              <w14:schemeClr w14:val="tx1"/>
            </w14:solidFill>
          </w14:textFill>
        </w:rPr>
        <w:t>序号22：</w:t>
      </w:r>
      <w:r>
        <w:rPr>
          <w:rFonts w:ascii="仿宋_GB2312" w:hAnsi="仿宋_GB2312" w:eastAsia="仿宋_GB2312" w:cs="仿宋_GB2312"/>
          <w:color w:val="000000" w:themeColor="text1"/>
          <w:sz w:val="20"/>
          <w:shd w:val="clear" w:fill="FFFFFF"/>
          <w14:textFill>
            <w14:solidFill>
              <w14:schemeClr w14:val="tx1"/>
            </w14:solidFill>
          </w14:textFill>
        </w:rPr>
        <w:t>绿地整洁、无杂物（包含不限于石块、落叶、枯枝、白色垃圾）、无白色污染（树挂），对绿化生产垃圾（如树枝、树叶、草屑等）、绿地内杂物，重点地区随产随清，其它地区日产日清，做到巡视保洁。</w:t>
      </w:r>
    </w:p>
    <w:p w14:paraId="2AADE8A2">
      <w:pPr>
        <w:pStyle w:val="6"/>
        <w:ind w:firstLine="480"/>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[评分项16]</w:t>
      </w:r>
      <w:r>
        <w:rPr>
          <w:rFonts w:ascii="仿宋_GB2312" w:hAnsi="仿宋_GB2312" w:eastAsia="仿宋_GB2312" w:cs="仿宋_GB2312"/>
          <w:color w:val="000000" w:themeColor="text1"/>
          <w:sz w:val="20"/>
          <w14:textFill>
            <w14:solidFill>
              <w14:schemeClr w14:val="tx1"/>
            </w14:solidFill>
          </w14:textFill>
        </w:rPr>
        <w:t>序号23：</w:t>
      </w:r>
      <w:r>
        <w:rPr>
          <w:rFonts w:ascii="仿宋_GB2312" w:hAnsi="仿宋_GB2312" w:eastAsia="仿宋_GB2312" w:cs="仿宋_GB2312"/>
          <w:color w:val="000000" w:themeColor="text1"/>
          <w:sz w:val="20"/>
          <w:shd w:val="clear" w:fill="FFFFFF"/>
          <w14:textFill>
            <w14:solidFill>
              <w14:schemeClr w14:val="tx1"/>
            </w14:solidFill>
          </w14:textFill>
        </w:rPr>
        <w:t>禾本科植物（含竹丛、原生绿地（芦苇荡））管理要求，全年根据芦苇等植物的生长特点、立地环境，生长期根据景观效果要求进行适当修剪，园路及主入口两侧保证离50cm，修剪整齐，结合疏删枯死叶弱株，达到通风透光。</w:t>
      </w:r>
    </w:p>
    <w:p w14:paraId="0B4E5DB9">
      <w:pPr>
        <w:pStyle w:val="6"/>
        <w:ind w:firstLine="480"/>
        <w:rPr>
          <w:rFonts w:hint="eastAsia" w:eastAsia="仿宋_GB2312"/>
          <w:color w:val="000000" w:themeColor="text1"/>
          <w:lang w:val="en-US" w:eastAsia="zh-CN"/>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w:t>
      </w:r>
      <w:r>
        <w:rPr>
          <w:rFonts w:ascii="仿宋_GB2312" w:hAnsi="仿宋_GB2312" w:eastAsia="仿宋_GB2312" w:cs="仿宋_GB2312"/>
          <w:b/>
          <w:color w:val="000000" w:themeColor="text1"/>
          <w:sz w:val="20"/>
          <w14:textFill>
            <w14:solidFill>
              <w14:schemeClr w14:val="tx1"/>
            </w14:solidFill>
          </w14:textFill>
        </w:rPr>
        <w:t>序号24：中标人应按照《福州市生活垃圾分类工作指引》（4-1，四，（五）“大件垃圾：自行投放至辖区规范的大件垃圾投放点/集散点，或通过公众号、电话等方式预约福州市大件废弃物处置服务有限公司上门进行搬运、运输和处置）”等相关要求做好大件（园林）垃圾处置工作。</w:t>
      </w:r>
      <w:r>
        <w:rPr>
          <w:rFonts w:hint="eastAsia" w:ascii="仿宋_GB2312" w:hAnsi="仿宋_GB2312" w:eastAsia="仿宋_GB2312" w:cs="仿宋_GB2312"/>
          <w:b/>
          <w:bCs/>
          <w:color w:val="000000" w:themeColor="text1"/>
          <w:sz w:val="20"/>
          <w14:textFill>
            <w14:solidFill>
              <w14:schemeClr w14:val="tx1"/>
            </w14:solidFill>
          </w14:textFill>
        </w:rPr>
        <w:t>本项目垃圾运输</w:t>
      </w:r>
      <w:r>
        <w:rPr>
          <w:rFonts w:hint="eastAsia" w:ascii="仿宋_GB2312" w:hAnsi="仿宋_GB2312" w:eastAsia="仿宋_GB2312" w:cs="仿宋_GB2312"/>
          <w:b/>
          <w:bCs/>
          <w:color w:val="000000" w:themeColor="text1"/>
          <w:sz w:val="20"/>
          <w:lang w:val="en-US" w:eastAsia="zh-CN"/>
          <w14:textFill>
            <w14:solidFill>
              <w14:schemeClr w14:val="tx1"/>
            </w14:solidFill>
          </w14:textFill>
        </w:rPr>
        <w:t>服务</w:t>
      </w:r>
      <w:r>
        <w:rPr>
          <w:rFonts w:hint="eastAsia" w:ascii="仿宋_GB2312" w:hAnsi="仿宋_GB2312" w:eastAsia="仿宋_GB2312" w:cs="仿宋_GB2312"/>
          <w:b/>
          <w:bCs/>
          <w:color w:val="000000" w:themeColor="text1"/>
          <w:sz w:val="20"/>
          <w14:textFill>
            <w14:solidFill>
              <w14:schemeClr w14:val="tx1"/>
            </w14:solidFill>
          </w14:textFill>
        </w:rPr>
        <w:t>所需相关许可由中标人自行办理，相关费用由中标人承担。中标人须在垃圾运输服务启动前取得合法有效的许可，许可不全或失效产生的全部责任与经济损失由中标人负责。</w:t>
      </w:r>
      <w:r>
        <w:rPr>
          <w:rFonts w:hint="eastAsia" w:ascii="仿宋_GB2312" w:hAnsi="仿宋_GB2312" w:eastAsia="仿宋_GB2312" w:cs="仿宋_GB2312"/>
          <w:b/>
          <w:bCs/>
          <w:color w:val="000000" w:themeColor="text1"/>
          <w:sz w:val="20"/>
          <w:lang w:val="en-US" w:eastAsia="zh-CN"/>
          <w14:textFill>
            <w14:solidFill>
              <w14:schemeClr w14:val="tx1"/>
            </w14:solidFill>
          </w14:textFill>
        </w:rPr>
        <w:t>若中标人</w:t>
      </w:r>
      <w:r>
        <w:rPr>
          <w:rFonts w:hint="eastAsia" w:ascii="仿宋_GB2312" w:hAnsi="仿宋_GB2312" w:eastAsia="仿宋_GB2312" w:cs="仿宋_GB2312"/>
          <w:b/>
          <w:bCs/>
          <w:color w:val="000000" w:themeColor="text1"/>
          <w:sz w:val="20"/>
          <w14:textFill>
            <w14:solidFill>
              <w14:schemeClr w14:val="tx1"/>
            </w14:solidFill>
          </w14:textFill>
        </w:rPr>
        <w:t>委托第三方转运</w:t>
      </w:r>
      <w:r>
        <w:rPr>
          <w:rFonts w:hint="eastAsia" w:ascii="仿宋_GB2312" w:hAnsi="仿宋_GB2312" w:eastAsia="仿宋_GB2312" w:cs="仿宋_GB2312"/>
          <w:b/>
          <w:bCs/>
          <w:color w:val="000000" w:themeColor="text1"/>
          <w:sz w:val="20"/>
          <w:lang w:val="en-US" w:eastAsia="zh-CN"/>
          <w14:textFill>
            <w14:solidFill>
              <w14:schemeClr w14:val="tx1"/>
            </w14:solidFill>
          </w14:textFill>
        </w:rPr>
        <w:t>的</w:t>
      </w:r>
      <w:r>
        <w:rPr>
          <w:rFonts w:hint="eastAsia" w:ascii="仿宋_GB2312" w:hAnsi="仿宋_GB2312" w:eastAsia="仿宋_GB2312" w:cs="仿宋_GB2312"/>
          <w:b/>
          <w:bCs/>
          <w:color w:val="000000" w:themeColor="text1"/>
          <w:sz w:val="20"/>
          <w14:textFill>
            <w14:solidFill>
              <w14:schemeClr w14:val="tx1"/>
            </w14:solidFill>
          </w14:textFill>
        </w:rPr>
        <w:t>，需提供</w:t>
      </w:r>
      <w:r>
        <w:rPr>
          <w:rFonts w:hint="eastAsia" w:ascii="仿宋_GB2312" w:hAnsi="仿宋_GB2312" w:eastAsia="仿宋_GB2312" w:cs="仿宋_GB2312"/>
          <w:b/>
          <w:bCs/>
          <w:color w:val="000000" w:themeColor="text1"/>
          <w:sz w:val="20"/>
          <w:lang w:val="en-US" w:eastAsia="zh-CN"/>
          <w14:textFill>
            <w14:solidFill>
              <w14:schemeClr w14:val="tx1"/>
            </w14:solidFill>
          </w14:textFill>
        </w:rPr>
        <w:t>与第三方签订的</w:t>
      </w:r>
      <w:r>
        <w:rPr>
          <w:rFonts w:hint="eastAsia" w:ascii="仿宋_GB2312" w:hAnsi="仿宋_GB2312" w:eastAsia="仿宋_GB2312" w:cs="仿宋_GB2312"/>
          <w:b/>
          <w:bCs/>
          <w:color w:val="000000" w:themeColor="text1"/>
          <w:sz w:val="20"/>
          <w14:textFill>
            <w14:solidFill>
              <w14:schemeClr w14:val="tx1"/>
            </w14:solidFill>
          </w14:textFill>
        </w:rPr>
        <w:t>委托协议</w:t>
      </w:r>
      <w:r>
        <w:rPr>
          <w:rFonts w:hint="eastAsia" w:ascii="仿宋_GB2312" w:hAnsi="仿宋_GB2312" w:eastAsia="仿宋_GB2312" w:cs="仿宋_GB2312"/>
          <w:b/>
          <w:bCs/>
          <w:color w:val="000000" w:themeColor="text1"/>
          <w:sz w:val="20"/>
          <w:lang w:val="en-US" w:eastAsia="zh-CN"/>
          <w14:textFill>
            <w14:solidFill>
              <w14:schemeClr w14:val="tx1"/>
            </w14:solidFill>
          </w14:textFill>
        </w:rPr>
        <w:t>或合同。</w:t>
      </w:r>
    </w:p>
    <w:p w14:paraId="122A9A89">
      <w:pPr>
        <w:pStyle w:val="6"/>
        <w:ind w:firstLine="482"/>
        <w:jc w:val="left"/>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三、商务要求（以“★”标示的内容为不允许负偏离的实质性要求）</w:t>
      </w:r>
    </w:p>
    <w:p w14:paraId="45E4245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8"/>
        <w:gridCol w:w="1050"/>
        <w:gridCol w:w="2175"/>
        <w:gridCol w:w="4271"/>
      </w:tblGrid>
      <w:tr w14:paraId="618134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89" w:hRule="atLeast"/>
        </w:trPr>
        <w:tc>
          <w:tcPr>
            <w:tcW w:w="808" w:type="dxa"/>
            <w:vAlign w:val="center"/>
          </w:tcPr>
          <w:p w14:paraId="278FBA09">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序号</w:t>
            </w:r>
          </w:p>
        </w:tc>
        <w:tc>
          <w:tcPr>
            <w:tcW w:w="1050" w:type="dxa"/>
            <w:vAlign w:val="center"/>
          </w:tcPr>
          <w:p w14:paraId="384F8128">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参数性质</w:t>
            </w:r>
          </w:p>
        </w:tc>
        <w:tc>
          <w:tcPr>
            <w:tcW w:w="2175" w:type="dxa"/>
            <w:vAlign w:val="center"/>
          </w:tcPr>
          <w:p w14:paraId="6F5653C4">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类型</w:t>
            </w:r>
          </w:p>
        </w:tc>
        <w:tc>
          <w:tcPr>
            <w:tcW w:w="4271" w:type="dxa"/>
            <w:vAlign w:val="center"/>
          </w:tcPr>
          <w:p w14:paraId="3E052C9D">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要求</w:t>
            </w:r>
          </w:p>
        </w:tc>
      </w:tr>
      <w:tr w14:paraId="5B7511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8" w:type="dxa"/>
            <w:vAlign w:val="center"/>
          </w:tcPr>
          <w:p w14:paraId="43602ED2">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w:t>
            </w:r>
          </w:p>
        </w:tc>
        <w:tc>
          <w:tcPr>
            <w:tcW w:w="1050" w:type="dxa"/>
            <w:vAlign w:val="center"/>
          </w:tcPr>
          <w:p w14:paraId="43E980F2">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2175" w:type="dxa"/>
            <w:vAlign w:val="center"/>
          </w:tcPr>
          <w:p w14:paraId="0A1A4425">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交货时间</w:t>
            </w:r>
          </w:p>
        </w:tc>
        <w:tc>
          <w:tcPr>
            <w:tcW w:w="4271" w:type="dxa"/>
          </w:tcPr>
          <w:p w14:paraId="47DEBBE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自合同签订之日起3年。</w:t>
            </w:r>
          </w:p>
        </w:tc>
      </w:tr>
      <w:tr w14:paraId="39F507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8" w:type="dxa"/>
            <w:vAlign w:val="center"/>
          </w:tcPr>
          <w:p w14:paraId="79780AA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w:t>
            </w:r>
          </w:p>
        </w:tc>
        <w:tc>
          <w:tcPr>
            <w:tcW w:w="1050" w:type="dxa"/>
            <w:vAlign w:val="center"/>
          </w:tcPr>
          <w:p w14:paraId="54579BF5">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2175" w:type="dxa"/>
            <w:vAlign w:val="center"/>
          </w:tcPr>
          <w:p w14:paraId="2B25522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交货地点</w:t>
            </w:r>
          </w:p>
        </w:tc>
        <w:tc>
          <w:tcPr>
            <w:tcW w:w="4271" w:type="dxa"/>
          </w:tcPr>
          <w:p w14:paraId="6D78876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福州市乌龙江公园管理处。</w:t>
            </w:r>
          </w:p>
        </w:tc>
      </w:tr>
      <w:tr w14:paraId="71B80C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8" w:type="dxa"/>
            <w:vAlign w:val="center"/>
          </w:tcPr>
          <w:p w14:paraId="6CD8D17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w:t>
            </w:r>
          </w:p>
        </w:tc>
        <w:tc>
          <w:tcPr>
            <w:tcW w:w="1050" w:type="dxa"/>
            <w:vAlign w:val="center"/>
          </w:tcPr>
          <w:p w14:paraId="2074E72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2175" w:type="dxa"/>
            <w:vAlign w:val="center"/>
          </w:tcPr>
          <w:p w14:paraId="2239F53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交货条件</w:t>
            </w:r>
          </w:p>
        </w:tc>
        <w:tc>
          <w:tcPr>
            <w:tcW w:w="4271" w:type="dxa"/>
          </w:tcPr>
          <w:p w14:paraId="56FCC33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以签订的合同为准。</w:t>
            </w:r>
          </w:p>
        </w:tc>
      </w:tr>
      <w:tr w14:paraId="404D8A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8" w:type="dxa"/>
            <w:vAlign w:val="center"/>
          </w:tcPr>
          <w:p w14:paraId="15A2106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w:t>
            </w:r>
          </w:p>
        </w:tc>
        <w:tc>
          <w:tcPr>
            <w:tcW w:w="1050" w:type="dxa"/>
            <w:vAlign w:val="center"/>
          </w:tcPr>
          <w:p w14:paraId="7D506D3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2175" w:type="dxa"/>
            <w:vAlign w:val="center"/>
          </w:tcPr>
          <w:p w14:paraId="16BB867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是否邀请投标人验收</w:t>
            </w:r>
          </w:p>
        </w:tc>
        <w:tc>
          <w:tcPr>
            <w:tcW w:w="4271" w:type="dxa"/>
          </w:tcPr>
          <w:p w14:paraId="1182004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不邀请投标人验收</w:t>
            </w:r>
          </w:p>
        </w:tc>
      </w:tr>
      <w:tr w14:paraId="2217C1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8" w:type="dxa"/>
            <w:vAlign w:val="center"/>
          </w:tcPr>
          <w:p w14:paraId="6EA84F65">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w:t>
            </w:r>
          </w:p>
        </w:tc>
        <w:tc>
          <w:tcPr>
            <w:tcW w:w="1050" w:type="dxa"/>
            <w:vAlign w:val="center"/>
          </w:tcPr>
          <w:p w14:paraId="4D9939A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2175" w:type="dxa"/>
            <w:vAlign w:val="center"/>
          </w:tcPr>
          <w:p w14:paraId="0EE85D78">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履约验收方式</w:t>
            </w:r>
          </w:p>
        </w:tc>
        <w:tc>
          <w:tcPr>
            <w:tcW w:w="4271" w:type="dxa"/>
          </w:tcPr>
          <w:p w14:paraId="6111517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期次1，说明：按照《福州市市管公园绿化分级养护质量考核办法（试行）》二级养护质量标准、《福州市乌龙江公园（不含沙滩公园）绿化养护质量标准及评分细则》中的养护质量标准执行，采购人每月不定期采取普查与随机抽查相结合的办法，对中标人养护质量进行考核验收。</w:t>
            </w:r>
          </w:p>
        </w:tc>
      </w:tr>
      <w:tr w14:paraId="5C0F3D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8" w:type="dxa"/>
            <w:vAlign w:val="center"/>
          </w:tcPr>
          <w:p w14:paraId="1DAFB1E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w:t>
            </w:r>
          </w:p>
        </w:tc>
        <w:tc>
          <w:tcPr>
            <w:tcW w:w="1050" w:type="dxa"/>
            <w:vAlign w:val="center"/>
          </w:tcPr>
          <w:p w14:paraId="07417FB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2175" w:type="dxa"/>
            <w:vAlign w:val="center"/>
          </w:tcPr>
          <w:p w14:paraId="76B9531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合同支付方式</w:t>
            </w:r>
          </w:p>
        </w:tc>
        <w:tc>
          <w:tcPr>
            <w:tcW w:w="4271" w:type="dxa"/>
          </w:tcPr>
          <w:p w14:paraId="4F5FE8D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进度款，第1-35期：采购人按照月支付，中标人完成月绿化养护工作，并经采购人和投标人双方共同核定的月养护经费后，待财政资金到位后，采购人以转账方式按月支付中标人上一月养护经费，中标人应出具正式发票，达到付款条件起10日内，支付合同总金额的96.95%</w:t>
            </w:r>
          </w:p>
          <w:p w14:paraId="43CB3C9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进度款，第36期：采购人按照月支付，中标人完成月绿化养护工作，并经采购人和投标人双方共同核定的月养护经费后，待财政资金到位后，采购人以转账方式按月支付中标人上一月养护经费，中标人应出具正式发票，达到付款条件起10日内，支付合同总金额的3.05%</w:t>
            </w:r>
          </w:p>
        </w:tc>
      </w:tr>
      <w:tr w14:paraId="6E33EB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8" w:type="dxa"/>
            <w:vAlign w:val="center"/>
          </w:tcPr>
          <w:p w14:paraId="596BCD1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7</w:t>
            </w:r>
          </w:p>
        </w:tc>
        <w:tc>
          <w:tcPr>
            <w:tcW w:w="1050" w:type="dxa"/>
            <w:vAlign w:val="center"/>
          </w:tcPr>
          <w:p w14:paraId="25DE06AB">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2175" w:type="dxa"/>
            <w:vAlign w:val="center"/>
          </w:tcPr>
          <w:p w14:paraId="0C7DEF31">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履约保证金</w:t>
            </w:r>
          </w:p>
        </w:tc>
        <w:tc>
          <w:tcPr>
            <w:tcW w:w="4271" w:type="dxa"/>
          </w:tcPr>
          <w:p w14:paraId="6C1FE60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缴纳, 本采购包履约保证金为合同金额的3%</w:t>
            </w:r>
          </w:p>
          <w:p w14:paraId="74A3346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缴纳方式：银行转账，支票/汇票/本票，保函/保险</w:t>
            </w:r>
          </w:p>
          <w:p w14:paraId="25E28C8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说明：中标通知书发出后，合同签订前，中标人须以支票、汇票、本票或者金融机构、担保机构出具的保函等非现金形式向招标人缴纳合同金额3%的履约保证金；在合同期内未出现违约现象及采购人利益受损的情况下，合同到期时无息退还。如中标人违约，不予退还履约保证金，若造成采购人经济损失的，采购人有权向中标人追偿。</w:t>
            </w:r>
          </w:p>
        </w:tc>
      </w:tr>
      <w:tr w14:paraId="1D87D2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8" w:type="dxa"/>
            <w:vAlign w:val="center"/>
          </w:tcPr>
          <w:p w14:paraId="227C06F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w:t>
            </w:r>
          </w:p>
        </w:tc>
        <w:tc>
          <w:tcPr>
            <w:tcW w:w="1050" w:type="dxa"/>
            <w:vAlign w:val="center"/>
          </w:tcPr>
          <w:p w14:paraId="7480CBE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2175" w:type="dxa"/>
            <w:vAlign w:val="center"/>
          </w:tcPr>
          <w:p w14:paraId="7713658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其他</w:t>
            </w:r>
          </w:p>
        </w:tc>
        <w:tc>
          <w:tcPr>
            <w:tcW w:w="4271" w:type="dxa"/>
          </w:tcPr>
          <w:p w14:paraId="0315272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8.1、合同支付方式：第1-35期：采购人按照月支付，中标人完成月绿化养护工作，并经采购人和投标人双方共同核定的月养护经费后，待财政资金到位后，采购人以转账方式按月支付中标人上一月养护经费，中标人应出具正式发票，达到付款条件起10日内，支付合同总金额的2.77% 第36期：采购人按照月支付，中标人完成月绿化养护工作，并经采购人和投标人双方共同核定的月养护经费后，待财政资金到位后，采购人以转账方式按月支付中标人上一月养护经费，中标人应出具正式发票，达到付款条件起10日内，支付合同总金额的3.05%。（招标文件同样内容与此处描述不一致的以此处描述为准） 8.2、若因财政部门在服务期内对预算调整，导致采购人无法支付合同费用的，双方协商后经费进行适当调整。（招标文件同样内容与此不一致的，以此为准）</w:t>
            </w:r>
          </w:p>
        </w:tc>
      </w:tr>
    </w:tbl>
    <w:p w14:paraId="5BBEA51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其他商务要求</w:t>
      </w:r>
    </w:p>
    <w:p w14:paraId="4B399400">
      <w:pPr>
        <w:pStyle w:val="6"/>
        <w:ind w:firstLine="480"/>
        <w:jc w:val="left"/>
        <w:rPr>
          <w:color w:val="000000" w:themeColor="text1"/>
          <w14:textFill>
            <w14:solidFill>
              <w14:schemeClr w14:val="tx1"/>
            </w14:solidFill>
          </w14:textFill>
        </w:rPr>
      </w:pPr>
      <w:r>
        <w:rPr>
          <w:rFonts w:ascii="仿宋_GB2312" w:hAnsi="仿宋_GB2312" w:eastAsia="仿宋_GB2312" w:cs="仿宋_GB2312"/>
          <w:b/>
          <w:color w:val="000000" w:themeColor="text1"/>
          <w:sz w:val="20"/>
          <w:shd w:val="clear" w:fill="FFFFFF"/>
          <w14:textFill>
            <w14:solidFill>
              <w14:schemeClr w14:val="tx1"/>
            </w14:solidFill>
          </w14:textFill>
        </w:rPr>
        <w:t>★9、绿化补植相关细则</w:t>
      </w:r>
    </w:p>
    <w:p w14:paraId="7CF3615B">
      <w:pPr>
        <w:pStyle w:val="6"/>
        <w:ind w:firstLine="405"/>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9.1中标人每年进行一次全园苗木盘点，对苗木品种数量进行清点后报送采购人。盘点核实后发现苗木死亡，数量缺少的，其中属于中标人养护不到位的，由中标人采购相应规格苗木进行补植，费用由中标人负责，如整改通知规定时间内中标人不进行补植，采购人有权视情况核减500-2000元的养护服务费，安排自行采购补植，所产生的费用从当月养护服务费用中核减，不足部分由履约保证金中支出，并可继续向中标人追偿。</w:t>
      </w:r>
    </w:p>
    <w:p w14:paraId="13648E90">
      <w:pPr>
        <w:pStyle w:val="6"/>
        <w:ind w:firstLine="405"/>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9.2如中标人养护不到位，造成绿化苗木大量死亡的（死亡率超过15%的），采购人有权解除养护服务合同，并扣除履约保证金。如系重大责任事故，采购人有权根据合同向中标人经济索赔并追究法律责任。</w:t>
      </w:r>
    </w:p>
    <w:p w14:paraId="72858F2A">
      <w:pPr>
        <w:pStyle w:val="6"/>
        <w:ind w:firstLine="402"/>
        <w:rPr>
          <w:color w:val="000000" w:themeColor="text1"/>
          <w14:textFill>
            <w14:solidFill>
              <w14:schemeClr w14:val="tx1"/>
            </w14:solidFill>
          </w14:textFill>
        </w:rPr>
      </w:pPr>
      <w:r>
        <w:rPr>
          <w:rFonts w:ascii="仿宋_GB2312" w:hAnsi="仿宋_GB2312" w:eastAsia="仿宋_GB2312" w:cs="仿宋_GB2312"/>
          <w:b/>
          <w:color w:val="000000" w:themeColor="text1"/>
          <w:sz w:val="20"/>
          <w:shd w:val="clear" w:fill="FFFFFF"/>
          <w14:textFill>
            <w14:solidFill>
              <w14:schemeClr w14:val="tx1"/>
            </w14:solidFill>
          </w14:textFill>
        </w:rPr>
        <w:t>★</w:t>
      </w:r>
      <w:r>
        <w:rPr>
          <w:rFonts w:ascii="仿宋_GB2312" w:hAnsi="仿宋_GB2312" w:eastAsia="仿宋_GB2312" w:cs="仿宋_GB2312"/>
          <w:b/>
          <w:color w:val="000000" w:themeColor="text1"/>
          <w:sz w:val="20"/>
          <w14:textFill>
            <w14:solidFill>
              <w14:schemeClr w14:val="tx1"/>
            </w14:solidFill>
          </w14:textFill>
        </w:rPr>
        <w:t>10、合同管理要求</w:t>
      </w:r>
    </w:p>
    <w:p w14:paraId="70578438">
      <w:pPr>
        <w:pStyle w:val="6"/>
        <w:ind w:firstLine="405"/>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10.1</w:t>
      </w:r>
      <w:r>
        <w:rPr>
          <w:rFonts w:ascii="仿宋_GB2312" w:hAnsi="仿宋_GB2312" w:eastAsia="仿宋_GB2312" w:cs="仿宋_GB2312"/>
          <w:b/>
          <w:color w:val="000000" w:themeColor="text1"/>
          <w:sz w:val="20"/>
          <w14:textFill>
            <w14:solidFill>
              <w14:schemeClr w14:val="tx1"/>
            </w14:solidFill>
          </w14:textFill>
        </w:rPr>
        <w:t>绿化养护服务期间内，采购人有权根据政府管理需要提前增加或收回部分合同委托管理的区域，中标人应在一个月内完成入场或清场工作。（管理区域如有调整，根据绿化养护面积的实际增减数量，按单位面积中标单价，对中标价进行核增或核减）。投标时需要单独提供承诺函，否则按无效投标处理。</w:t>
      </w:r>
    </w:p>
    <w:p w14:paraId="0DD69D39">
      <w:pPr>
        <w:pStyle w:val="6"/>
        <w:ind w:firstLine="398"/>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10.2绿化养护服务期间，违反下列规定的中标人将被解除绿化养护服务合同，并扣除履约保证金。</w:t>
      </w:r>
    </w:p>
    <w:p w14:paraId="36E7E1AF">
      <w:pPr>
        <w:pStyle w:val="6"/>
        <w:ind w:firstLine="400"/>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10.2.1将承包的绿化养护服务转包他人；</w:t>
      </w:r>
    </w:p>
    <w:p w14:paraId="45CB7AB5">
      <w:pPr>
        <w:pStyle w:val="6"/>
        <w:ind w:firstLine="400"/>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10.2.2招标文件及合同的有关规定；</w:t>
      </w:r>
    </w:p>
    <w:p w14:paraId="33A0A25D">
      <w:pPr>
        <w:pStyle w:val="6"/>
        <w:ind w:firstLine="400"/>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10.2.3出现其他重大问题。</w:t>
      </w:r>
    </w:p>
    <w:p w14:paraId="2328F725">
      <w:pPr>
        <w:pStyle w:val="6"/>
        <w:ind w:firstLine="405"/>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10.3中标人单方面提出解除合同，采购人有权没收全部履约保证金，并上报市采购办予以相应处罚。</w:t>
      </w:r>
    </w:p>
    <w:p w14:paraId="2D0C6D50">
      <w:pPr>
        <w:pStyle w:val="6"/>
        <w:ind w:firstLine="402"/>
        <w:rPr>
          <w:color w:val="000000" w:themeColor="text1"/>
          <w14:textFill>
            <w14:solidFill>
              <w14:schemeClr w14:val="tx1"/>
            </w14:solidFill>
          </w14:textFill>
        </w:rPr>
      </w:pPr>
      <w:r>
        <w:rPr>
          <w:rFonts w:ascii="仿宋_GB2312" w:hAnsi="仿宋_GB2312" w:eastAsia="仿宋_GB2312" w:cs="仿宋_GB2312"/>
          <w:b/>
          <w:color w:val="000000" w:themeColor="text1"/>
          <w:sz w:val="20"/>
          <w:shd w:val="clear" w:fill="FFFFFF"/>
          <w14:textFill>
            <w14:solidFill>
              <w14:schemeClr w14:val="tx1"/>
            </w14:solidFill>
          </w14:textFill>
        </w:rPr>
        <w:t>★</w:t>
      </w:r>
      <w:r>
        <w:rPr>
          <w:rFonts w:ascii="仿宋_GB2312" w:hAnsi="仿宋_GB2312" w:eastAsia="仿宋_GB2312" w:cs="仿宋_GB2312"/>
          <w:b/>
          <w:color w:val="000000" w:themeColor="text1"/>
          <w:sz w:val="20"/>
          <w14:textFill>
            <w14:solidFill>
              <w14:schemeClr w14:val="tx1"/>
            </w14:solidFill>
          </w14:textFill>
        </w:rPr>
        <w:t>11、中标人管理不当发生重大事故</w:t>
      </w:r>
    </w:p>
    <w:p w14:paraId="2C5BDB79">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凡属中标人管理不当发生安全生产事故，按损失金额的100%进行赔偿。如系重大责任事故，采购人有权根据合同向中标人索赔并追究法律责任。中标人收到采购人的通知后，在规定的整改期限内仍未整改到位并消除安全隐患的，则采购人有权终止合同。</w:t>
      </w:r>
    </w:p>
    <w:p w14:paraId="72F8593C">
      <w:pPr>
        <w:pStyle w:val="6"/>
        <w:ind w:firstLine="402"/>
        <w:jc w:val="left"/>
        <w:rPr>
          <w:color w:val="000000" w:themeColor="text1"/>
          <w14:textFill>
            <w14:solidFill>
              <w14:schemeClr w14:val="tx1"/>
            </w14:solidFill>
          </w14:textFill>
        </w:rPr>
      </w:pPr>
      <w:r>
        <w:rPr>
          <w:rFonts w:ascii="仿宋_GB2312" w:hAnsi="仿宋_GB2312" w:eastAsia="仿宋_GB2312" w:cs="仿宋_GB2312"/>
          <w:b/>
          <w:color w:val="000000" w:themeColor="text1"/>
          <w:sz w:val="20"/>
          <w:shd w:val="clear" w:fill="FFFFFF"/>
          <w14:textFill>
            <w14:solidFill>
              <w14:schemeClr w14:val="tx1"/>
            </w14:solidFill>
          </w14:textFill>
        </w:rPr>
        <w:t>★</w:t>
      </w:r>
      <w:r>
        <w:rPr>
          <w:rFonts w:ascii="仿宋_GB2312" w:hAnsi="仿宋_GB2312" w:eastAsia="仿宋_GB2312" w:cs="仿宋_GB2312"/>
          <w:b/>
          <w:color w:val="000000" w:themeColor="text1"/>
          <w:sz w:val="20"/>
          <w14:textFill>
            <w14:solidFill>
              <w14:schemeClr w14:val="tx1"/>
            </w14:solidFill>
          </w14:textFill>
        </w:rPr>
        <w:t>12、</w:t>
      </w:r>
      <w:r>
        <w:rPr>
          <w:rFonts w:ascii="仿宋_GB2312" w:hAnsi="仿宋_GB2312" w:eastAsia="仿宋_GB2312" w:cs="仿宋_GB2312"/>
          <w:b/>
          <w:color w:val="000000" w:themeColor="text1"/>
          <w:sz w:val="20"/>
          <w:shd w:val="clear" w:fill="FFFFFF"/>
          <w14:textFill>
            <w14:solidFill>
              <w14:schemeClr w14:val="tx1"/>
            </w14:solidFill>
          </w14:textFill>
        </w:rPr>
        <w:t>违约责任</w:t>
      </w:r>
    </w:p>
    <w:p w14:paraId="26D2AFAC">
      <w:pPr>
        <w:pStyle w:val="6"/>
        <w:ind w:firstLine="405"/>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12.1中标人应当及时支付员工工资，不得以采购人未向其支付养护服务费为由怠于向员工支付工资。中标人应在每月30日前足额支付本项目所有员工上月工资，逾期每超1日，采购人可扣除服务费2000元，从当月服务费中扣除。</w:t>
      </w:r>
    </w:p>
    <w:p w14:paraId="42F07019">
      <w:pPr>
        <w:pStyle w:val="6"/>
        <w:ind w:firstLine="405"/>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12.2因中标人原因造成采购合同无法按时签订，视为中标人违约，中标人违约对采购人造成的损失的，需另行支付相应的赔偿。</w:t>
      </w:r>
    </w:p>
    <w:p w14:paraId="5ADFE73D">
      <w:pPr>
        <w:pStyle w:val="6"/>
        <w:ind w:firstLine="405"/>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12.3在签订采购合同之后，中标人要求解除合同的，视为中标人违约，对采购人造成的损失的，中标人需支付相应的赔偿。</w:t>
      </w:r>
    </w:p>
    <w:p w14:paraId="37BB3054">
      <w:pPr>
        <w:pStyle w:val="6"/>
        <w:ind w:firstLine="405"/>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12.4若发生死亡安全事故，除按国家有关安全管理规定及采购人有关安全管理办法执行外，上报相关行政主管部门按规定进行处罚；发生重大安全事故或特大安全事故，除按国家有关安全管理规定及采购人有关安全管理办法执行外，采购人有权终止合同，给采购人造成的损失，还应承担赔偿责任。</w:t>
      </w:r>
    </w:p>
    <w:p w14:paraId="22C1A4D8">
      <w:pPr>
        <w:pStyle w:val="6"/>
        <w:ind w:firstLine="405"/>
        <w:jc w:val="left"/>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12.5在明确违约责任后，中标人应在接到书面通知书起七天内支付违约金、赔偿金等。</w:t>
      </w:r>
    </w:p>
    <w:p w14:paraId="3C402C4B">
      <w:pPr>
        <w:pStyle w:val="6"/>
        <w:ind w:firstLine="480"/>
        <w:jc w:val="left"/>
        <w:rPr>
          <w:color w:val="000000" w:themeColor="text1"/>
          <w14:textFill>
            <w14:solidFill>
              <w14:schemeClr w14:val="tx1"/>
            </w14:solidFill>
          </w14:textFill>
        </w:rPr>
      </w:pPr>
      <w:r>
        <w:rPr>
          <w:rFonts w:ascii="仿宋_GB2312" w:hAnsi="仿宋_GB2312" w:eastAsia="仿宋_GB2312" w:cs="仿宋_GB2312"/>
          <w:b/>
          <w:color w:val="000000" w:themeColor="text1"/>
          <w:sz w:val="20"/>
          <w:shd w:val="clear" w:fill="FFFFFF"/>
          <w14:textFill>
            <w14:solidFill>
              <w14:schemeClr w14:val="tx1"/>
            </w14:solidFill>
          </w14:textFill>
        </w:rPr>
        <w:t>★</w:t>
      </w:r>
      <w:r>
        <w:rPr>
          <w:rFonts w:ascii="仿宋_GB2312" w:hAnsi="仿宋_GB2312" w:eastAsia="仿宋_GB2312" w:cs="仿宋_GB2312"/>
          <w:b/>
          <w:color w:val="000000" w:themeColor="text1"/>
          <w:sz w:val="20"/>
          <w14:textFill>
            <w14:solidFill>
              <w14:schemeClr w14:val="tx1"/>
            </w14:solidFill>
          </w14:textFill>
        </w:rPr>
        <w:t>13、</w:t>
      </w:r>
      <w:r>
        <w:rPr>
          <w:rFonts w:ascii="仿宋_GB2312" w:hAnsi="仿宋_GB2312" w:eastAsia="仿宋_GB2312" w:cs="仿宋_GB2312"/>
          <w:b/>
          <w:color w:val="000000" w:themeColor="text1"/>
          <w:sz w:val="20"/>
          <w:shd w:val="clear" w:fill="FFFFFF"/>
          <w14:textFill>
            <w14:solidFill>
              <w14:schemeClr w14:val="tx1"/>
            </w14:solidFill>
          </w14:textFill>
        </w:rPr>
        <w:t>考核验收</w:t>
      </w:r>
    </w:p>
    <w:p w14:paraId="407ED156">
      <w:pPr>
        <w:pStyle w:val="6"/>
        <w:ind w:firstLine="40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13.1</w:t>
      </w:r>
      <w:r>
        <w:rPr>
          <w:rFonts w:ascii="仿宋_GB2312" w:hAnsi="仿宋_GB2312" w:eastAsia="仿宋_GB2312" w:cs="仿宋_GB2312"/>
          <w:b/>
          <w:color w:val="000000" w:themeColor="text1"/>
          <w:sz w:val="20"/>
          <w14:textFill>
            <w14:solidFill>
              <w14:schemeClr w14:val="tx1"/>
            </w14:solidFill>
          </w14:textFill>
        </w:rPr>
        <w:t>福州市乌龙江公园（不含沙滩公园）绿化养护质量标准及评分细则</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037"/>
        <w:gridCol w:w="1042"/>
        <w:gridCol w:w="647"/>
        <w:gridCol w:w="2797"/>
        <w:gridCol w:w="2993"/>
      </w:tblGrid>
      <w:tr w14:paraId="02BB874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45" w:type="dxa"/>
            <w:gridSpan w:val="2"/>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6D4678A">
            <w:pPr>
              <w:pStyle w:val="6"/>
              <w:jc w:val="center"/>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考核项目</w:t>
            </w:r>
          </w:p>
        </w:tc>
        <w:tc>
          <w:tcPr>
            <w:tcW w:w="79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CA75DBF">
            <w:pPr>
              <w:pStyle w:val="6"/>
              <w:jc w:val="center"/>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权重</w:t>
            </w:r>
          </w:p>
        </w:tc>
        <w:tc>
          <w:tcPr>
            <w:tcW w:w="411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FAF21BA">
            <w:pPr>
              <w:pStyle w:val="6"/>
              <w:jc w:val="center"/>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养护质量标准</w:t>
            </w:r>
          </w:p>
        </w:tc>
        <w:tc>
          <w:tcPr>
            <w:tcW w:w="436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3721B91">
            <w:pPr>
              <w:pStyle w:val="6"/>
              <w:jc w:val="center"/>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评分细则</w:t>
            </w:r>
          </w:p>
        </w:tc>
      </w:tr>
      <w:tr w14:paraId="1C331D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0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CBFF54">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植物养护状况(42分)</w:t>
            </w:r>
          </w:p>
        </w:tc>
        <w:tc>
          <w:tcPr>
            <w:tcW w:w="14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966432">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乔木</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73DD2B">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6</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B08F3D">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①生长正常，树冠完整，树干基本挺直；无明显枯枝断枝病虫枝及非自然的黄叶；无藤蔓攀附和寄生植物。</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②结合植物生长特性等组织修剪；梳理榕属植物气生根，避免杂乱。</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根据要求对过密、生长环境不适或与周边环境不协调的植株进行移植或改植；因养护原因导致缺株、死株的，应及时去除、补植或进行处罚；补植时，选用与原有种类一致，规格相近的树木，并按要求结合植物的生态习性以及季节特点，安排补植时间。</w:t>
            </w:r>
          </w:p>
        </w:tc>
        <w:tc>
          <w:tcPr>
            <w:tcW w:w="436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4DD1E97">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①植株生长不良，枝条稀疏、骨架不完整的，每株扣0.2分；花乔木未正常开花的，每株扣0.2分。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 有枯枝、断枝、病虫枝的，每处扣0.2分；有藤蔓攀附和寄生植物的，每处扣0.1分。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③树冠未根据生长特性进行修剪，导致枝叶过密、不透风不透光，或树形杂乱，每株扣0.5分。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④树干下部侧生枝条未及时修剪的，每株扣0.1分。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⑤榕属植物气生根未进行梳理，生长杂乱的，每株扣0.1分。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⑥未按要求及时对过密、生长环境不适或与周边环境不协调植株进行移植或改植的，每株扣0.5分。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⑦未按要求对死亡树木及时去除或补植，每株扣0.5分。</w:t>
            </w:r>
          </w:p>
        </w:tc>
      </w:tr>
      <w:tr w14:paraId="73D857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05" w:type="dxa"/>
            <w:vMerge w:val="continue"/>
            <w:tcBorders>
              <w:top w:val="nil"/>
              <w:left w:val="single" w:color="000000" w:sz="4" w:space="0"/>
              <w:bottom w:val="single" w:color="000000" w:sz="4" w:space="0"/>
              <w:right w:val="single" w:color="000000" w:sz="4" w:space="0"/>
            </w:tcBorders>
          </w:tcPr>
          <w:p w14:paraId="26D0512C">
            <w:pPr>
              <w:rPr>
                <w:color w:val="000000" w:themeColor="text1"/>
                <w14:textFill>
                  <w14:solidFill>
                    <w14:schemeClr w14:val="tx1"/>
                  </w14:solidFill>
                </w14:textFill>
              </w:rPr>
            </w:pPr>
          </w:p>
        </w:tc>
        <w:tc>
          <w:tcPr>
            <w:tcW w:w="14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3E165A">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灌木</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C032A4">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5</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45952C">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①灌木长势正常，无明显枯枝断枝及非自然的黄叶；造型美观，正常开花，无明显非自然落花落蕾现象。</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②结合植物的生长特性组织修剪，既造型美观又能适时开花，残花枯枝枯叶应及时修剪、摘除。</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根据要求对过密、生长环境不适或与周边环境不协调的植株进行移植或改植；因养护原因导致缺株、死株的灌木，应及时去除、补植或进行处罚；补植时，选用与原有品种一致，规格相近的苗木，并按要求结合植物的生态习性以及季节特点，安排补植时间。</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916C0C">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①植株长势不良、疏密处理不当、未正常开花，2%＜缺（死）株率≤3%，扣1分；3%＜缺（死）株率≤10%，扣2-4分；10%＜缺（死）株率，扣5分。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②未根据生长特性进行修剪，导致灌木形态凌乱；花灌木未根据开花习性进行修剪，每处扣1分。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③未按要求及时对过密、生长环境不适或与周边环境不协调植株进行移植或改植，每次扣1分；未按要求及时去除或补植缺株、死亡灌木，每次扣1分。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④有藤蔓攀附和寄生植物的，每处扣0.2分。</w:t>
            </w:r>
          </w:p>
        </w:tc>
      </w:tr>
      <w:tr w14:paraId="2EECB8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05" w:type="dxa"/>
            <w:vMerge w:val="continue"/>
            <w:tcBorders>
              <w:top w:val="nil"/>
              <w:left w:val="single" w:color="000000" w:sz="4" w:space="0"/>
              <w:bottom w:val="single" w:color="000000" w:sz="4" w:space="0"/>
              <w:right w:val="single" w:color="000000" w:sz="4" w:space="0"/>
            </w:tcBorders>
          </w:tcPr>
          <w:p w14:paraId="10677775">
            <w:pPr>
              <w:rPr>
                <w:color w:val="000000" w:themeColor="text1"/>
                <w14:textFill>
                  <w14:solidFill>
                    <w14:schemeClr w14:val="tx1"/>
                  </w14:solidFill>
                </w14:textFill>
              </w:rPr>
            </w:pPr>
          </w:p>
        </w:tc>
        <w:tc>
          <w:tcPr>
            <w:tcW w:w="14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A4101D">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草本花卉</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2E971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5</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C1C7C0">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①植株生长正常，蓬径基本饱满，株高一致。</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②缺株倒伏的花苗≤7%。</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③无明显非自然落花落蕾现象，枯叶、残花量≤5%。</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A33F5D">
            <w:pPr>
              <w:pStyle w:val="6"/>
              <w:jc w:val="both"/>
              <w:rPr>
                <w:color w:val="000000" w:themeColor="text1"/>
                <w14:textFill>
                  <w14:solidFill>
                    <w14:schemeClr w14:val="tx1"/>
                  </w14:solidFill>
                </w14:textFill>
              </w:rPr>
            </w:pP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①缺株倒伏＞7%，每增加1% 扣1分。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②出现明显的非自然落花落蕾现象，每处扣0.5分。</w:t>
            </w:r>
          </w:p>
        </w:tc>
      </w:tr>
      <w:tr w14:paraId="72046B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0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633EB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植物养护状况(42分)</w:t>
            </w:r>
          </w:p>
        </w:tc>
        <w:tc>
          <w:tcPr>
            <w:tcW w:w="14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CF04D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绿篱及地被</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9DC9A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5</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E47D27">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①绿篱应尽量与周围环境协调，轮廓清晰。</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②地被长势好，边缘整齐，覆盖率≥95%。</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EEA0D9">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①绿篱轮廓不明显，有明显的徒长枝条，有杂草攀附缠绕，每处扣1分。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②覆盖率＜95% ，杂草率＞5%，每处扣1分。</w:t>
            </w:r>
          </w:p>
        </w:tc>
      </w:tr>
      <w:tr w14:paraId="463F65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05" w:type="dxa"/>
            <w:vMerge w:val="continue"/>
            <w:tcBorders>
              <w:top w:val="nil"/>
              <w:left w:val="single" w:color="000000" w:sz="4" w:space="0"/>
              <w:bottom w:val="single" w:color="000000" w:sz="4" w:space="0"/>
              <w:right w:val="single" w:color="000000" w:sz="4" w:space="0"/>
            </w:tcBorders>
          </w:tcPr>
          <w:p w14:paraId="627EEE9F">
            <w:pPr>
              <w:rPr>
                <w:color w:val="000000" w:themeColor="text1"/>
                <w14:textFill>
                  <w14:solidFill>
                    <w14:schemeClr w14:val="tx1"/>
                  </w14:solidFill>
                </w14:textFill>
              </w:rPr>
            </w:pPr>
          </w:p>
        </w:tc>
        <w:tc>
          <w:tcPr>
            <w:tcW w:w="14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3FCE40">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草坪</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95BF3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5</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C3D429">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①草种应基本纯正，生长势好，草坪覆盖率≥95%。</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②杂草率≤5%，基本平坦，切边整 齐，无明显坑洼积水现象；按要求及时打孔复壮。</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③根据季节特点和植物的生长发育特性，确保草坪高度基本一致、边缘基本整齐。修剪后基本无明显草屑。</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60CD00">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①斑秃面积＞5%的，每增加1%扣1分。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②杂草率＞5%的，每增加1%扣1分。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③高度明显不一致、切边不整齐，有明显坑洼积水现象，未按要求打孔复壮，每处（次）扣0.5分。</w:t>
            </w:r>
          </w:p>
        </w:tc>
      </w:tr>
      <w:tr w14:paraId="67FF84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05" w:type="dxa"/>
            <w:vMerge w:val="continue"/>
            <w:tcBorders>
              <w:top w:val="nil"/>
              <w:left w:val="single" w:color="000000" w:sz="4" w:space="0"/>
              <w:bottom w:val="single" w:color="000000" w:sz="4" w:space="0"/>
              <w:right w:val="single" w:color="000000" w:sz="4" w:space="0"/>
            </w:tcBorders>
          </w:tcPr>
          <w:p w14:paraId="7E80FF32">
            <w:pPr>
              <w:rPr>
                <w:color w:val="000000" w:themeColor="text1"/>
                <w14:textFill>
                  <w14:solidFill>
                    <w14:schemeClr w14:val="tx1"/>
                  </w14:solidFill>
                </w14:textFill>
              </w:rPr>
            </w:pPr>
          </w:p>
        </w:tc>
        <w:tc>
          <w:tcPr>
            <w:tcW w:w="14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6275D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病虫害防治</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777B74">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5</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EA7FA4">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①制定病虫害防治预案和计划。</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②无明显有害生物危害状，受害株数应控制在总量的4%以下，单株受害程度应在6%以下，草坪受害面积应在总量3%以下。</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③及时普査和扑杀各种检疫性有害生物，防治率应占到99%。</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④科学依法依规使用农药，合理安排施药时间，严禁使用国家明令禁止的剧毒、高残留农药。</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13FA7A">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①无病虫害防治预案和计划，扣1分。未按照管理单位要求以及防治预案和计划实施的，每次或每处扣0.2分。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②乔灌木病虫害危害株数达到总量4%的，扣1分，每增加2%扣1分。草坪受害面积达到总量3%的，扣1分，每增加2%扣1分。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③发现检疫性有害生物的，每处扣0.5分。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④使用国家明令禁止的剧毒、高残留农药的，每次扣5分。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⑤发生药害事故，或影响市民游园体验被投诉的，视情节扣1-5分。</w:t>
            </w:r>
          </w:p>
        </w:tc>
      </w:tr>
      <w:tr w14:paraId="59F856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05" w:type="dxa"/>
            <w:vMerge w:val="continue"/>
            <w:tcBorders>
              <w:top w:val="nil"/>
              <w:left w:val="single" w:color="000000" w:sz="4" w:space="0"/>
              <w:bottom w:val="single" w:color="000000" w:sz="4" w:space="0"/>
              <w:right w:val="single" w:color="000000" w:sz="4" w:space="0"/>
            </w:tcBorders>
          </w:tcPr>
          <w:p w14:paraId="6608E44B">
            <w:pPr>
              <w:rPr>
                <w:color w:val="000000" w:themeColor="text1"/>
                <w14:textFill>
                  <w14:solidFill>
                    <w14:schemeClr w14:val="tx1"/>
                  </w14:solidFill>
                </w14:textFill>
              </w:rPr>
            </w:pPr>
          </w:p>
        </w:tc>
        <w:tc>
          <w:tcPr>
            <w:tcW w:w="14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0FFD3F">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水肥管理</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4193D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5</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FE5021">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①制定年度施肥计划。</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②根据当地气候、土壤保水、植物需水等情况，适时适量浇水。</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③根据树木生长需要和土壤肥力情况，规范作业，合理施肥。</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④暴雨12小时后，无积水现象。</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⑤树木根部周围的土壤宜保持疏松。</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B0A385">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①无年度施肥计划，扣1分。未按照管理单位要求以及年度施肥计划实施的，每次或每处扣0.2分。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②出现缺水症状或缺肥症状，面积达到5%的，扣1分，每增加1%加扣1分。浇水施肥作业不专业，对植物有损害的，每次扣0.5分；出现肥害症状的，每次扣1分。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③暴雨12小时后有积水现象的，每处扣0.5分。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④树木根部周围土壤出现板结的，每株扣0.5分。</w:t>
            </w:r>
          </w:p>
        </w:tc>
      </w:tr>
      <w:tr w14:paraId="45CC43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9DF23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植物养护状况(42分)</w:t>
            </w:r>
          </w:p>
        </w:tc>
        <w:tc>
          <w:tcPr>
            <w:tcW w:w="14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95974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极端天气防控</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DA4A3F">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6</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232603">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①根据管理单位要求，制定科学有效的极端天气（台风、暴雨、干旱、寒潮等）防控应急预案。</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②发布极端天气预警时，应根据应急预案配齐配足人员、物资、设备等，采取相应措施，尽量减少损失。</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③极端天气发生后，应迅速高效的投入救援力量，采取有效措施开展应急处置工作。</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472178">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①无科学有效的极端天气（台风、暴雨、干旱、寒潮等）防控应急预案扣2分。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②发布极端天气预警时，未按应急预案和管理单位要求采取充分有效措施的，每次扣2分。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③极端天气发生后，应急抢险处置不够迅速有效，未在规定时间内完成应急抢险任务的，每次扣2分。</w:t>
            </w:r>
          </w:p>
        </w:tc>
      </w:tr>
      <w:tr w14:paraId="443B8C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0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60D48F">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绿地保洁</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(8分)</w:t>
            </w:r>
          </w:p>
        </w:tc>
        <w:tc>
          <w:tcPr>
            <w:tcW w:w="14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951F1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绿地环境卫生</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1C0E29">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4</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319BE5">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①草坪及低矮地被等绿地，无落叶堆积，无较大的坠落枯枝。</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②绿篱等灌木地被绿地内，基本无大型枯枝、表面无落叶、无沉积落叶。</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③乔木上无悬挂的气球、塑料袋等白色垃圾。</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④绿地基本整洁，无鼠洞和蚊蝇滋生地等。</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F9F05F">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①草坪及低矮地被等绿地，有堆积、腐坏落叶或较大坠落枯枝的，每处扣0.2分。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②绿篱、花坛等灌木地被绿地内有，大型枯枝、表面有掉落枯叶、下层沉积落叶的，每处扣0.1分。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③乔木上有悬挂的气球、塑料袋等白色垃圾的，每处扣0.1分。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④绿地有鼠洞、蚊蝇滋生地等且未采取有效措施的，每处扣0.1分。</w:t>
            </w:r>
          </w:p>
        </w:tc>
      </w:tr>
      <w:tr w14:paraId="70C15D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05" w:type="dxa"/>
            <w:vMerge w:val="continue"/>
            <w:tcBorders>
              <w:top w:val="nil"/>
              <w:left w:val="single" w:color="000000" w:sz="4" w:space="0"/>
              <w:bottom w:val="single" w:color="000000" w:sz="4" w:space="0"/>
              <w:right w:val="single" w:color="000000" w:sz="4" w:space="0"/>
            </w:tcBorders>
          </w:tcPr>
          <w:p w14:paraId="773E65D9">
            <w:pPr>
              <w:rPr>
                <w:color w:val="000000" w:themeColor="text1"/>
                <w14:textFill>
                  <w14:solidFill>
                    <w14:schemeClr w14:val="tx1"/>
                  </w14:solidFill>
                </w14:textFill>
              </w:rPr>
            </w:pPr>
          </w:p>
        </w:tc>
        <w:tc>
          <w:tcPr>
            <w:tcW w:w="14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69732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绿化垃圾与垃圾分类</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2B1BB8">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4</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910D6F">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开展绿化修剪、补植等工作时产生的作业垃圾应在作业当日完成清理，并按照垃圾分类相关规定实行分类运输到指定地点处理。</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51AB25">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绿化作业垃圾当日未清理的，每处扣0.5分。未按照垃圾分类相关规定实行分类运输到指定地点处理，每次扣1分。</w:t>
            </w:r>
          </w:p>
        </w:tc>
      </w:tr>
      <w:tr w14:paraId="5E172FB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0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AA263F">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养护设施管理（8分）</w:t>
            </w:r>
          </w:p>
        </w:tc>
        <w:tc>
          <w:tcPr>
            <w:tcW w:w="14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2726DB">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养护设施</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224E0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4</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CA1F0A">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①对公园提供的养护设施应基本保持完好无损。</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②随着树木的长大，应及时调整树木支撑设施与树干接触面的防护带、扣件、夹杆等，以免嵌入树皮内。</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③养护设施存在安全隐患或正在进行修复、更换时，应先对现场进行围闭，并设置警示标志。</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848356">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①绿化管养范围内取水栓、滴管、喷头、草花护栏、护树架、种植槽、花盆、花缸等设施损坏，并未及时修复的，每处扣0.3分。如损坏不是养护原因造成的，不扣分。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②未及时调整树木支撑设施与树干接触面的防护带、扣件、夹杆等，而嵌入树皮内的，每处扣0.5分。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③对存在安全隐患养护设施，或正在进行修复、更换的现场，未进行现场围闭、设置警示标志的，每处扣0.5分。</w:t>
            </w:r>
          </w:p>
        </w:tc>
      </w:tr>
      <w:tr w14:paraId="5789038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05" w:type="dxa"/>
            <w:vMerge w:val="continue"/>
            <w:tcBorders>
              <w:top w:val="nil"/>
              <w:left w:val="single" w:color="000000" w:sz="4" w:space="0"/>
              <w:bottom w:val="single" w:color="000000" w:sz="4" w:space="0"/>
              <w:right w:val="single" w:color="000000" w:sz="4" w:space="0"/>
            </w:tcBorders>
          </w:tcPr>
          <w:p w14:paraId="38305FBB">
            <w:pPr>
              <w:rPr>
                <w:color w:val="000000" w:themeColor="text1"/>
                <w14:textFill>
                  <w14:solidFill>
                    <w14:schemeClr w14:val="tx1"/>
                  </w14:solidFill>
                </w14:textFill>
              </w:rPr>
            </w:pPr>
          </w:p>
        </w:tc>
        <w:tc>
          <w:tcPr>
            <w:tcW w:w="14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FB3845">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其他基础设施</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DA1F5D">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4</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B73ED1">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对公园提供的其他基础设施应保持完好无损。</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105E4B">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因养护原因导致园路、广场铺装和树池等有破损或凹凸，并未及时修复的每处扣0.3分。</w:t>
            </w:r>
          </w:p>
        </w:tc>
      </w:tr>
      <w:tr w14:paraId="481888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0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DA6891">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绿化安全（8分）</w:t>
            </w:r>
          </w:p>
        </w:tc>
        <w:tc>
          <w:tcPr>
            <w:tcW w:w="14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C2F9E1">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养护作业安全</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EF714F">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4</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3FB7BD">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①绿化修剪时应设置安全警戒线、警示牌等安全防护设施，高空作业时需使用安全带等防护措施，确保作业人员安全。</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②施肥时，操作人员应按规范操作，使用防护用品。</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③使用农药时需严格按说明书进行稀释和喷洒，操作人员应规范使用防护用品，施药后需做好现场清理、工具清洗和剩余药品收纳。</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④使用机械设备时，操作人员应具备相应操作资格，机械设备周围应设置警示标志，禁止无关人员靠近。</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E6F852">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①绿化修剪时未设置安全警戒线、警示牌等安全防护设施，高空作业时未使用安全带等防护措施的，每次扣1分。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②施肥时，操作人员未按规范使用防护用品的，每次扣0.2分。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③使用农药时未严格按说明书进行稀释和喷洒的，每次扣0.5分，操作人员未规范使用防护用品的，每次扣0.2分，施药后未做好现场清理、工具清洗和剩余药品收纳的，每次扣0.2分。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④使用机械设备时，操作人员不具备相应操作资格，每次扣1分，机械设备周围未设置警示标志的，每次扣0.2分。</w:t>
            </w:r>
          </w:p>
        </w:tc>
      </w:tr>
      <w:tr w14:paraId="5847B61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05" w:type="dxa"/>
            <w:vMerge w:val="continue"/>
            <w:tcBorders>
              <w:top w:val="nil"/>
              <w:left w:val="single" w:color="000000" w:sz="4" w:space="0"/>
              <w:bottom w:val="single" w:color="000000" w:sz="4" w:space="0"/>
              <w:right w:val="single" w:color="000000" w:sz="4" w:space="0"/>
            </w:tcBorders>
          </w:tcPr>
          <w:p w14:paraId="4C5CB7FF">
            <w:pPr>
              <w:rPr>
                <w:color w:val="000000" w:themeColor="text1"/>
                <w14:textFill>
                  <w14:solidFill>
                    <w14:schemeClr w14:val="tx1"/>
                  </w14:solidFill>
                </w14:textFill>
              </w:rPr>
            </w:pPr>
          </w:p>
        </w:tc>
        <w:tc>
          <w:tcPr>
            <w:tcW w:w="14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F94566">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安全隐患整治</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FD83B1">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4</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1A2B75">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加强巡查，及时修剪断枝、折枝、枯枝、下垂枝、病虫枝等，及时清理绿地内及植物上铁丝、铁钉、缆线、地钉等，消除安全隐患。</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CFA054">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有断枝、折枝、枯枝、下垂枝、病虫枝等未及时修剪，具有安全隐患的，每处扣0.2分；临近道路、园路两侧、广场、儿童游乐等人流量大的区域的未及时修剪的断枝、折枝、枯枝、下垂枝、病虫枝等，每处扣0.5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②绿地内及植物上有铁丝、铁钉、缆线、地钉等具有安全隐患的异物，每处扣0.2分。</w:t>
            </w:r>
          </w:p>
        </w:tc>
      </w:tr>
      <w:tr w14:paraId="7191EC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45"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F68320">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养护档案</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（5分）</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0CC384">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5</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C94F63">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建立完善的养护档案管理制度，并做好更新维护，记录养护作业全过程。养护档案主要包括：养护的植物种类清单、重点养护植物的养护要点及注意事项、养护计划、养护方案、月度苗木生长状况记录；每年开展一次全园苗木核验工作，对重点养护苗木变动情况做出说明；养护履约合同结束、新旧养护队伍交接时，配合公园管理单位做好全园苗木清单核验工作。</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FAAD46">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①未建立养护档案管理制度的，扣5分；养护档案不完整或未按要求未及时更新的，每项扣1分。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②未按要求开展苗木核验工作的，扣5分。</w:t>
            </w:r>
          </w:p>
        </w:tc>
      </w:tr>
      <w:tr w14:paraId="1A7442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0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959975">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人机配备（4分）</w:t>
            </w:r>
          </w:p>
        </w:tc>
        <w:tc>
          <w:tcPr>
            <w:tcW w:w="14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AB14FA">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人员配备情况</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2758A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2</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F5EA0B">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根据招标文件要求，每月对绿化养护人员到位情况进行考核。</w:t>
            </w:r>
          </w:p>
        </w:tc>
        <w:tc>
          <w:tcPr>
            <w:tcW w:w="436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2BD01C4">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到位总人数≤95%，扣1分；到位总人数＜90%，视为本月此项考核不合格，该项不得分（人数向上取整）。</w:t>
            </w:r>
          </w:p>
        </w:tc>
      </w:tr>
      <w:tr w14:paraId="78DF00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05" w:type="dxa"/>
            <w:vMerge w:val="continue"/>
            <w:tcBorders>
              <w:top w:val="nil"/>
              <w:left w:val="single" w:color="000000" w:sz="4" w:space="0"/>
              <w:bottom w:val="single" w:color="000000" w:sz="4" w:space="0"/>
              <w:right w:val="single" w:color="000000" w:sz="4" w:space="0"/>
            </w:tcBorders>
          </w:tcPr>
          <w:p w14:paraId="17966229">
            <w:pPr>
              <w:rPr>
                <w:color w:val="000000" w:themeColor="text1"/>
                <w14:textFill>
                  <w14:solidFill>
                    <w14:schemeClr w14:val="tx1"/>
                  </w14:solidFill>
                </w14:textFill>
              </w:rPr>
            </w:pPr>
          </w:p>
        </w:tc>
        <w:tc>
          <w:tcPr>
            <w:tcW w:w="14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68C004">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设施设备配备情况</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2F7C30">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2</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AC6534">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根据招标文件和实际工作要求，对绿化养护单位的设施设备到位情况进行考核。</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DFD550">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①养护需要的农具、化肥、农药等消耗品，每项有缺失不足的情况，扣0.2分。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②车辆、打药机、割草机、油锯、绿篱机等设备，每次有缺失的情况，扣0.3分。</w:t>
            </w:r>
          </w:p>
        </w:tc>
      </w:tr>
      <w:tr w14:paraId="2F97E02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45"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415F6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12345诉求件及重要工作、重大活动保障（5分）</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FFE18F">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5</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57A6BD">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积极协助办理12345市民诉求件，满足合理正当需求；协助做好重要工作、重大活动保障。</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D6A2DC">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①对市民的合理诉求整改不及时、不到位的，每次扣2分；因工作推诿、拖拉造成重复投诉的，扣5分。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②重要工作、重大活动保障不力、突发事件处理不当，视情况每次扣3-5分。</w:t>
            </w:r>
          </w:p>
        </w:tc>
      </w:tr>
      <w:tr w14:paraId="580693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45"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B1D8C9">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茉莉花的养护管理（10分）</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C3CA9E">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10</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45ADFD">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①无枯枝、病虫枝、细弱枝、过密枝、内膛枝，面积不得超过5%；</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②根据植株大小、生长时期、生长情况制定水肥计划，适时适量浇水，合理施肥，无缺水、缺肥或肥害症状。</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③基本无杂草，无缠绕性、攀援性杂草；杂草高度控制在15cm以下，不影响茉莉花生长。</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④应养护原因导致损坏、死亡的植株应及时更换补植，所用植株应品种相同、规格相近，缺株率在5%以下。</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⑤病虫害防治及时，无明显危害迹象。</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915148">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①枯枝、病虫枝、细弱枝、过密枝、内向枝面积每100平方米超过5%（含5%）的扣0.5分。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②植株出现缺水症状或缺肥症状或肥害症状面积每100平方米超过5%（含5%）的扣0.5分。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③茉莉花田杂草超过15cm每10平方米面积扣0.5分。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④缺株面积每100平方米超过5%（含5%）的扣0.5分。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⑤有病虫害危害的面积每100平方米超过5%扣0.5分。</w:t>
            </w:r>
          </w:p>
        </w:tc>
      </w:tr>
      <w:tr w14:paraId="7BB717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45"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AC4BDC">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福桔的养护管理（10分）</w:t>
            </w:r>
          </w:p>
        </w:tc>
        <w:tc>
          <w:tcPr>
            <w:tcW w:w="7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059D87">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10</w:t>
            </w:r>
          </w:p>
        </w:tc>
        <w:tc>
          <w:tcPr>
            <w:tcW w:w="41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6343B4">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①生长正常，树冠完整；无明显枯枝断枝病虫枝及非自然的黄叶；结合福桔生长特性等组织修剪；无藤蔓攀附和寄生植物。</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②水肥管理科学。</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③采取保花保果措施，确保花果生长正常。</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④病虫害防治及时，无明显危害迹象。</w:t>
            </w:r>
          </w:p>
        </w:tc>
        <w:tc>
          <w:tcPr>
            <w:tcW w:w="43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BA2388">
            <w:pPr>
              <w:pStyle w:val="6"/>
              <w:jc w:val="both"/>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①定期修剪，疏剪直立枝、粗壮徒长枝，及时回缩结果枝和衰退枝。彻底剪除病虫枝、交叉丛生枝，清洁树干，刮除寄生物，涂白并封堵树洞。福桔园及时清除杂草，防止恶性杂草生长。未达要求的每株扣0.5分。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②科学施肥，适时追肥，每个月施用足量肥，具体施肥量根据树势、树形及福桔园土壤肥力状况等因素确定；根据土壤水分情况和福桔不同生长发育特点进行浇水，雨季应及时疏通，排除积水。未达要求的每次扣0.5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③在福桔开花季应采取保花保果措施，确保花果生长正常；花果超量时，适度剪除过多花枝果枝，同时增加肥料供给，促发适当营养枝，保持福桔的树势树形。未达要求的每株扣0.5分。</w:t>
            </w:r>
            <w:r>
              <w:rPr>
                <w:color w:val="000000" w:themeColor="text1"/>
                <w14:textFill>
                  <w14:solidFill>
                    <w14:schemeClr w14:val="tx1"/>
                  </w14:solidFill>
                </w14:textFill>
              </w:rPr>
              <w:br w:type="textWrapping"/>
            </w:r>
            <w:r>
              <w:rPr>
                <w:rFonts w:ascii="仿宋_GB2312" w:hAnsi="仿宋_GB2312" w:eastAsia="仿宋_GB2312" w:cs="仿宋_GB2312"/>
                <w:color w:val="000000" w:themeColor="text1"/>
                <w:sz w:val="20"/>
                <w14:textFill>
                  <w14:solidFill>
                    <w14:schemeClr w14:val="tx1"/>
                  </w14:solidFill>
                </w14:textFill>
              </w:rPr>
              <w:t>④坚持“预防为主，综合防治”原则，通过预测预报确定病虫害关键防治时期，实施精准防治。修剪病虫枝，清洁果园等，做好以柑橘黄龙病为重点的及其他常见福桔病虫害的防控工作。未达要求的每株扣0.5分。</w:t>
            </w:r>
          </w:p>
        </w:tc>
      </w:tr>
      <w:tr w14:paraId="033D4A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45"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4E5208">
            <w:pPr>
              <w:pStyle w:val="6"/>
              <w:jc w:val="center"/>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总分</w:t>
            </w:r>
          </w:p>
        </w:tc>
        <w:tc>
          <w:tcPr>
            <w:tcW w:w="9270" w:type="dxa"/>
            <w:gridSpan w:val="3"/>
            <w:tcBorders>
              <w:top w:val="nil"/>
              <w:left w:val="nil"/>
              <w:bottom w:val="single" w:color="000000" w:sz="4" w:space="0"/>
              <w:right w:val="single" w:color="000000" w:sz="4" w:space="0"/>
            </w:tcBorders>
            <w:tcMar>
              <w:top w:w="0" w:type="dxa"/>
              <w:left w:w="105" w:type="dxa"/>
              <w:bottom w:w="0" w:type="dxa"/>
              <w:right w:w="105" w:type="dxa"/>
            </w:tcMar>
            <w:vAlign w:val="top"/>
          </w:tcPr>
          <w:p w14:paraId="20C688BD">
            <w:pPr>
              <w:pStyle w:val="6"/>
              <w:jc w:val="center"/>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100分</w:t>
            </w:r>
          </w:p>
        </w:tc>
      </w:tr>
    </w:tbl>
    <w:p w14:paraId="7952F4DC">
      <w:pPr>
        <w:pStyle w:val="6"/>
        <w:ind w:firstLine="480"/>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注：考核评分表采用百分制，单项考核项目按次、处扣分。</w:t>
      </w:r>
    </w:p>
    <w:p w14:paraId="35EA35D0">
      <w:pPr>
        <w:pStyle w:val="6"/>
        <w:ind w:firstLine="480"/>
        <w:rPr>
          <w:rFonts w:ascii="仿宋_GB2312" w:hAnsi="仿宋_GB2312" w:eastAsia="仿宋_GB2312" w:cs="仿宋_GB2312"/>
          <w:b/>
          <w:bCs w:val="0"/>
          <w:color w:val="000000" w:themeColor="text1"/>
          <w:sz w:val="20"/>
          <w14:textFill>
            <w14:solidFill>
              <w14:schemeClr w14:val="tx1"/>
            </w14:solidFill>
          </w14:textFill>
        </w:rPr>
      </w:pPr>
      <w:r>
        <w:rPr>
          <w:rFonts w:ascii="仿宋_GB2312" w:hAnsi="仿宋_GB2312" w:eastAsia="仿宋_GB2312" w:cs="仿宋_GB2312"/>
          <w:b/>
          <w:bCs w:val="0"/>
          <w:color w:val="000000" w:themeColor="text1"/>
          <w:sz w:val="20"/>
          <w:shd w:val="clear" w:fill="FFFFFF"/>
          <w14:textFill>
            <w14:solidFill>
              <w14:schemeClr w14:val="tx1"/>
            </w14:solidFill>
          </w14:textFill>
        </w:rPr>
        <w:t>★</w:t>
      </w:r>
      <w:r>
        <w:rPr>
          <w:rFonts w:hint="eastAsia" w:ascii="仿宋_GB2312" w:hAnsi="仿宋_GB2312" w:eastAsia="仿宋_GB2312" w:cs="仿宋_GB2312"/>
          <w:b/>
          <w:bCs w:val="0"/>
          <w:color w:val="000000" w:themeColor="text1"/>
          <w:sz w:val="20"/>
          <w14:textFill>
            <w14:solidFill>
              <w14:schemeClr w14:val="tx1"/>
            </w14:solidFill>
          </w14:textFill>
        </w:rPr>
        <w:t>每年开展一次全园苗木核验工作，对重点养护苗木变动情况作出说明:在养护履约合同结束后、新旧养护队伍交接时，配合公园管理单位做好全园苗木清单核验工作。(投标时需要单独提供承诺函，否则按无效投标处理)</w:t>
      </w:r>
      <w:bookmarkStart w:id="0" w:name="_GoBack"/>
      <w:bookmarkEnd w:id="0"/>
    </w:p>
    <w:p w14:paraId="49D20689">
      <w:pPr>
        <w:pStyle w:val="6"/>
        <w:ind w:firstLine="480"/>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13.2绿化养护项目考核细则</w:t>
      </w:r>
    </w:p>
    <w:p w14:paraId="39918A99">
      <w:pPr>
        <w:pStyle w:val="6"/>
        <w:ind w:firstLine="48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13.2.1</w:t>
      </w:r>
      <w:r>
        <w:rPr>
          <w:rFonts w:ascii="仿宋_GB2312" w:hAnsi="仿宋_GB2312" w:eastAsia="仿宋_GB2312" w:cs="仿宋_GB2312"/>
          <w:color w:val="000000" w:themeColor="text1"/>
          <w:sz w:val="20"/>
          <w14:textFill>
            <w14:solidFill>
              <w14:schemeClr w14:val="tx1"/>
            </w14:solidFill>
          </w14:textFill>
        </w:rPr>
        <w:t>考核人员：采购人组织相关工作人员组成考核组负责考核工作。</w:t>
      </w:r>
    </w:p>
    <w:p w14:paraId="2CEC3D10">
      <w:pPr>
        <w:pStyle w:val="6"/>
        <w:ind w:firstLine="48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13.2.2</w:t>
      </w:r>
      <w:r>
        <w:rPr>
          <w:rFonts w:ascii="仿宋_GB2312" w:hAnsi="仿宋_GB2312" w:eastAsia="仿宋_GB2312" w:cs="仿宋_GB2312"/>
          <w:color w:val="000000" w:themeColor="text1"/>
          <w:sz w:val="20"/>
          <w14:textFill>
            <w14:solidFill>
              <w14:schemeClr w14:val="tx1"/>
            </w14:solidFill>
          </w14:textFill>
        </w:rPr>
        <w:t>考核方式：考核实行百分制，每周考评一次，每月考评不少于4次，每月综合计算考评成绩，考核成绩作为养护经费支付依据。</w:t>
      </w:r>
    </w:p>
    <w:p w14:paraId="1E032253">
      <w:pPr>
        <w:pStyle w:val="6"/>
        <w:ind w:firstLine="405"/>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13.2.3</w:t>
      </w:r>
      <w:r>
        <w:rPr>
          <w:rFonts w:ascii="仿宋_GB2312" w:hAnsi="仿宋_GB2312" w:eastAsia="仿宋_GB2312" w:cs="仿宋_GB2312"/>
          <w:color w:val="000000" w:themeColor="text1"/>
          <w:sz w:val="20"/>
          <w14:textFill>
            <w14:solidFill>
              <w14:schemeClr w14:val="tx1"/>
            </w14:solidFill>
          </w14:textFill>
        </w:rPr>
        <w:t>检查内容：根据《</w:t>
      </w:r>
      <w:r>
        <w:rPr>
          <w:rFonts w:ascii="仿宋_GB2312" w:hAnsi="仿宋_GB2312" w:eastAsia="仿宋_GB2312" w:cs="仿宋_GB2312"/>
          <w:b/>
          <w:color w:val="000000" w:themeColor="text1"/>
          <w:sz w:val="20"/>
          <w14:textFill>
            <w14:solidFill>
              <w14:schemeClr w14:val="tx1"/>
            </w14:solidFill>
          </w14:textFill>
        </w:rPr>
        <w:t>福州市乌龙江公园（不含沙滩公园）绿化养护质量标准及评分细则</w:t>
      </w:r>
      <w:r>
        <w:rPr>
          <w:rFonts w:ascii="仿宋_GB2312" w:hAnsi="仿宋_GB2312" w:eastAsia="仿宋_GB2312" w:cs="仿宋_GB2312"/>
          <w:color w:val="000000" w:themeColor="text1"/>
          <w:sz w:val="20"/>
          <w14:textFill>
            <w14:solidFill>
              <w14:schemeClr w14:val="tx1"/>
            </w14:solidFill>
          </w14:textFill>
        </w:rPr>
        <w:t>》对中标人进行考核，同时检查中标人制度执行情况并填写《考核登记表》，一式两份，经双方签字后各执一份，如中标人对考核分数有异议必须在考核当日提出，否则视为默认考核成绩，如若中标人不及时签字确认，采购人一律视为中标人默认采购人的考核评分。</w:t>
      </w:r>
    </w:p>
    <w:p w14:paraId="0099AE28">
      <w:pPr>
        <w:pStyle w:val="6"/>
        <w:ind w:firstLine="405"/>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13.2.4</w:t>
      </w:r>
      <w:r>
        <w:rPr>
          <w:rFonts w:ascii="仿宋_GB2312" w:hAnsi="仿宋_GB2312" w:eastAsia="仿宋_GB2312" w:cs="仿宋_GB2312"/>
          <w:color w:val="000000" w:themeColor="text1"/>
          <w:sz w:val="20"/>
          <w14:textFill>
            <w14:solidFill>
              <w14:schemeClr w14:val="tx1"/>
            </w14:solidFill>
          </w14:textFill>
        </w:rPr>
        <w:t>考核与经费支付：按照下列得分评定等级，给予相应支付。</w:t>
      </w:r>
    </w:p>
    <w:p w14:paraId="0E8D65F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① 考核得分≥90分，全额支付养护经费；</w:t>
      </w:r>
    </w:p>
    <w:p w14:paraId="2C7E4E3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② 85分≤考核得分＜90分的，支付养护经费的95%；</w:t>
      </w:r>
    </w:p>
    <w:p w14:paraId="05AB216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③ 80分≤考核得分＜85分的，支付养护经费的90%；</w:t>
      </w:r>
    </w:p>
    <w:p w14:paraId="0EFDD7B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④ 70分≤考核得分＜80分的，支付养护经费的80%；</w:t>
      </w:r>
    </w:p>
    <w:p w14:paraId="5AB6B24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⑤ 60分≤考核得分＜70分的，支付养护经费的60%；</w:t>
      </w:r>
    </w:p>
    <w:p w14:paraId="72B3A40F">
      <w:pPr>
        <w:pStyle w:val="6"/>
        <w:ind w:firstLine="480"/>
        <w:rPr>
          <w:color w:val="000000" w:themeColor="text1"/>
          <w14:textFill>
            <w14:solidFill>
              <w14:schemeClr w14:val="tx1"/>
            </w14:solidFill>
          </w14:textFill>
        </w:rPr>
      </w:pPr>
      <w:r>
        <w:rPr>
          <w:rFonts w:ascii="仿宋_GB2312" w:hAnsi="仿宋_GB2312" w:eastAsia="仿宋_GB2312" w:cs="仿宋_GB2312"/>
          <w:color w:val="000000" w:themeColor="text1"/>
          <w:sz w:val="20"/>
          <w14:textFill>
            <w14:solidFill>
              <w14:schemeClr w14:val="tx1"/>
            </w14:solidFill>
          </w14:textFill>
        </w:rPr>
        <w:t>⑥ 考核得分低于60分或合同(或协议)期内累计3次考核得分低于80分的，采购人有权终止合同(或协议)并没收全额履约保证金，中标人须无条件按采购人要求办理移交、退场手续。</w:t>
      </w:r>
    </w:p>
    <w:p w14:paraId="36BE16D3">
      <w:pPr>
        <w:pStyle w:val="6"/>
        <w:ind w:firstLine="480"/>
        <w:rPr>
          <w:color w:val="000000" w:themeColor="text1"/>
          <w14:textFill>
            <w14:solidFill>
              <w14:schemeClr w14:val="tx1"/>
            </w14:solidFill>
          </w14:textFill>
        </w:rPr>
      </w:pPr>
      <w:r>
        <w:rPr>
          <w:rFonts w:ascii="仿宋_GB2312" w:hAnsi="仿宋_GB2312" w:eastAsia="仿宋_GB2312" w:cs="仿宋_GB2312"/>
          <w:b/>
          <w:color w:val="000000" w:themeColor="text1"/>
          <w:sz w:val="20"/>
          <w:shd w:val="clear" w:fill="FFFFFF"/>
          <w14:textFill>
            <w14:solidFill>
              <w14:schemeClr w14:val="tx1"/>
            </w14:solidFill>
          </w14:textFill>
        </w:rPr>
        <w:t>★</w:t>
      </w:r>
      <w:r>
        <w:rPr>
          <w:rFonts w:ascii="仿宋_GB2312" w:hAnsi="仿宋_GB2312" w:eastAsia="仿宋_GB2312" w:cs="仿宋_GB2312"/>
          <w:b/>
          <w:color w:val="000000" w:themeColor="text1"/>
          <w:sz w:val="20"/>
          <w14:textFill>
            <w14:solidFill>
              <w14:schemeClr w14:val="tx1"/>
            </w14:solidFill>
          </w14:textFill>
        </w:rPr>
        <w:t>14、日常养护服务管理奖惩办法</w:t>
      </w:r>
    </w:p>
    <w:p w14:paraId="78DEB73A">
      <w:pPr>
        <w:pStyle w:val="6"/>
        <w:ind w:firstLine="42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14.1一个考核年度内，采购人每月不定期采取普查与随机抽查相结合的办法，对中标人养护质量进行验收。如发现违反合同规定的，采购人视情节处以口头警告或核减养护服务费300至500元，并以书面形式通知中标人，中标人应在规定时间内及时整改到位。如未按要求整改到位的采购人则有权视情况(按500-2000元/每次未整改到位) 核减养护服务费，从当月养护服务费中扣除。</w:t>
      </w:r>
    </w:p>
    <w:p w14:paraId="7D97C37A">
      <w:pPr>
        <w:pStyle w:val="6"/>
        <w:ind w:firstLine="42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14.2一个考核年度内，遇国家、省、市、局相关检查，中标人绿化养护服务工作相关处理细则：</w:t>
      </w:r>
    </w:p>
    <w:p w14:paraId="39C25529">
      <w:pPr>
        <w:pStyle w:val="6"/>
        <w:ind w:firstLine="42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14.2.1采购人因绿化养护工作被红、黄牌或被通报的，采购人下达第一次书面整改通知予以核减养护服务费2000-5000元，直接从当月绿化养护服务费中扣除；</w:t>
      </w:r>
    </w:p>
    <w:p w14:paraId="0B52887B">
      <w:pPr>
        <w:pStyle w:val="6"/>
        <w:ind w:firstLine="42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14.2.2若因中标人未按规定时间内整改到位，被通报2次，采购人下达第二次书面整改通知予以核减养护费10000元，直接从当月绿化养护服务费中扣除；</w:t>
      </w:r>
    </w:p>
    <w:p w14:paraId="520B3674">
      <w:pPr>
        <w:pStyle w:val="6"/>
        <w:ind w:firstLine="42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14.2.3采购人因绿化养护工作被红、黄牌警告2次或被通报3次，采购人有权终止合同并予以核减养护服务费15000元，直接从履约保证金中扣除。</w:t>
      </w:r>
    </w:p>
    <w:p w14:paraId="2FDA05C1">
      <w:pPr>
        <w:pStyle w:val="6"/>
        <w:ind w:firstLine="42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14.3如在日常工作中机械、车辆未应采购人要求到场，采购人有权视情况采取核减养护费处理：机械按每次500元/件，车辆按每次2000元/辆进行扣款，在当月绿化养护经费中直接扣除并在当期考核周期中进行扣分；如在抢险救灾时未及时响应采购人要求，采购人有权视情况进行扣款，人员按每次500元/人，机械按每次1000元/件，车辆按每次3000元/辆进行扣款，在当月绿化养护经费中直接扣除并在当期考核周期中进行扣分。</w:t>
      </w:r>
    </w:p>
    <w:p w14:paraId="264DC8E6">
      <w:pPr>
        <w:pStyle w:val="6"/>
        <w:ind w:firstLine="42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14.4关于数字城管、12345投诉、媒体曝光等投诉的相关处理细则：</w:t>
      </w:r>
    </w:p>
    <w:p w14:paraId="57DE2AEB">
      <w:pPr>
        <w:pStyle w:val="6"/>
        <w:ind w:firstLine="42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14.4.1数字城管和12345的案件接件由采购人负责，中标人按规定时间书面反馈及处理。</w:t>
      </w:r>
    </w:p>
    <w:p w14:paraId="356F126C">
      <w:pPr>
        <w:pStyle w:val="6"/>
        <w:ind w:firstLine="42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14.4.2若因中标人未按规定时间内整改到位，采购人再次接到相同的投拆，对中标人核减养护服务费1000元，直接从当月绿化养护服务费中扣除。</w:t>
      </w:r>
    </w:p>
    <w:p w14:paraId="360BAAC8">
      <w:pPr>
        <w:pStyle w:val="6"/>
        <w:ind w:firstLine="42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14.4.3若因中标人未按规定时间内整改到位，采购人受到处罚，采购人有权解除养护服务合同并视情对中标人处以采购人罚金1-2倍数额的处罚，罚金由履约保证金中扣除，不足部分采购人可向中标人要求进行经济赔偿。</w:t>
      </w:r>
    </w:p>
    <w:p w14:paraId="25F495B1">
      <w:pPr>
        <w:pStyle w:val="6"/>
        <w:ind w:firstLine="42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14.5因中标人原因造成园林设施损坏未按照采购人要求及时修复的，采购人以书面整改通知；采购人下达第一次书面整改通知未及时修复的，核减养护服务费1000元；采购人下达第二次书面整改通知未及时修复的，核减养护服务费3000元；采购人下达第三次书面整改通知未及时修复的，核减养护服务费5000元。</w:t>
      </w:r>
      <w:r>
        <w:rPr>
          <w:rFonts w:ascii="仿宋_GB2312" w:hAnsi="仿宋_GB2312" w:eastAsia="仿宋_GB2312" w:cs="仿宋_GB2312"/>
          <w:color w:val="000000" w:themeColor="text1"/>
          <w:sz w:val="20"/>
          <w14:textFill>
            <w14:solidFill>
              <w14:schemeClr w14:val="tx1"/>
            </w14:solidFill>
          </w14:textFill>
        </w:rPr>
        <w:t>若造成采购人经济损失的，</w:t>
      </w:r>
      <w:r>
        <w:rPr>
          <w:rFonts w:ascii="仿宋_GB2312" w:hAnsi="仿宋_GB2312" w:eastAsia="仿宋_GB2312" w:cs="仿宋_GB2312"/>
          <w:color w:val="000000" w:themeColor="text1"/>
          <w:sz w:val="20"/>
          <w:shd w:val="clear" w:fill="FFFFFF"/>
          <w14:textFill>
            <w14:solidFill>
              <w14:schemeClr w14:val="tx1"/>
            </w14:solidFill>
          </w14:textFill>
        </w:rPr>
        <w:t>并视情对中标人处以采购人损失金额的1-2倍数额的处罚。直接从当月绿化养护经费中扣除，不足部分采购人可向中标人要求进行经济赔偿。</w:t>
      </w:r>
    </w:p>
    <w:p w14:paraId="78950B34">
      <w:pPr>
        <w:pStyle w:val="6"/>
        <w:ind w:firstLine="402"/>
        <w:rPr>
          <w:color w:val="000000" w:themeColor="text1"/>
          <w14:textFill>
            <w14:solidFill>
              <w14:schemeClr w14:val="tx1"/>
            </w14:solidFill>
          </w14:textFill>
        </w:rPr>
      </w:pPr>
      <w:r>
        <w:rPr>
          <w:rFonts w:ascii="仿宋_GB2312" w:hAnsi="仿宋_GB2312" w:eastAsia="仿宋_GB2312" w:cs="仿宋_GB2312"/>
          <w:b/>
          <w:color w:val="000000" w:themeColor="text1"/>
          <w:sz w:val="20"/>
          <w:shd w:val="clear" w:fill="FFFFFF"/>
          <w14:textFill>
            <w14:solidFill>
              <w14:schemeClr w14:val="tx1"/>
            </w14:solidFill>
          </w14:textFill>
        </w:rPr>
        <w:t>★15、其他要求</w:t>
      </w:r>
    </w:p>
    <w:p w14:paraId="1FFA6643">
      <w:pPr>
        <w:pStyle w:val="6"/>
        <w:ind w:firstLine="42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15.1投标人应根据招标要求提供其为本项目所设计的养护实施方案(包括文明作业、安全作业、应对重大活动和检查评比的保障措施等)、项目管理班子、员工配备情况、服务承诺、投入设备清单。</w:t>
      </w:r>
    </w:p>
    <w:p w14:paraId="6061E642">
      <w:pPr>
        <w:pStyle w:val="6"/>
        <w:ind w:firstLine="42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15.2因中标人原因发生重大质量事故，除依约承担赔偿责任外，还将按有关质量管理办法规定执行。同时，采购人有权保留更换中标人的权利，并报相关行政主管部门处罚。</w:t>
      </w:r>
    </w:p>
    <w:p w14:paraId="6B46E7EB">
      <w:pPr>
        <w:pStyle w:val="6"/>
        <w:ind w:firstLine="42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15.3承包期内发生的一切安全事故，如治安、交通事故、第三方伤害赔偿和劳资纠纷等，均由中标人承担。发现人为破坏绿化和设施的，应当及时制止并上报，并严格按照采购人要求执行。</w:t>
      </w:r>
    </w:p>
    <w:p w14:paraId="322319C3">
      <w:pPr>
        <w:pStyle w:val="6"/>
        <w:ind w:firstLine="480"/>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15.4中标后，采购人有权对中标人的提供的材料进行核查，中标人应无条件配合采购人的核查工作，不得托词拒绝提供材料核查或隐瞒真实情况。若采购人发现中标人提供虚假材料谋取中标或承诺的内容与真实情况不一致等违法违规行为，采购人有权取消其合同签订或终止合同，因此给采购人造成损失的，中标人须另行支付相应的赔偿。</w:t>
      </w:r>
    </w:p>
    <w:p w14:paraId="06E298EF">
      <w:pPr>
        <w:pStyle w:val="6"/>
        <w:ind w:firstLine="380"/>
        <w:jc w:val="left"/>
        <w:rPr>
          <w:color w:val="000000" w:themeColor="text1"/>
          <w14:textFill>
            <w14:solidFill>
              <w14:schemeClr w14:val="tx1"/>
            </w14:solidFill>
          </w14:textFill>
        </w:rPr>
      </w:pPr>
      <w:r>
        <w:rPr>
          <w:rFonts w:ascii="仿宋_GB2312" w:hAnsi="仿宋_GB2312" w:eastAsia="仿宋_GB2312" w:cs="仿宋_GB2312"/>
          <w:color w:val="000000" w:themeColor="text1"/>
          <w:sz w:val="20"/>
          <w:shd w:val="clear" w:fill="FFFFFF"/>
          <w14:textFill>
            <w14:solidFill>
              <w14:schemeClr w14:val="tx1"/>
            </w14:solidFill>
          </w14:textFill>
        </w:rPr>
        <w:t>15.5因项目所在地属于台风多发地带，</w:t>
      </w:r>
      <w:r>
        <w:rPr>
          <w:rFonts w:ascii="仿宋_GB2312" w:hAnsi="仿宋_GB2312" w:eastAsia="仿宋_GB2312" w:cs="仿宋_GB2312"/>
          <w:color w:val="000000" w:themeColor="text1"/>
          <w:sz w:val="20"/>
          <w14:textFill>
            <w14:solidFill>
              <w14:schemeClr w14:val="tx1"/>
            </w14:solidFill>
          </w14:textFill>
        </w:rPr>
        <w:t>在台风、暴雨等重大自然灾害期间，中标人需服从采购人及采购人上级单位的工作安排，接到任务通知后，临时承担西三环路（淮安大桥至湾边大桥段）两侧辅路的应急抢险任务。</w:t>
      </w:r>
      <w:r>
        <w:rPr>
          <w:rFonts w:ascii="仿宋_GB2312" w:hAnsi="仿宋_GB2312" w:eastAsia="仿宋_GB2312" w:cs="仿宋_GB2312"/>
          <w:color w:val="000000" w:themeColor="text1"/>
          <w:sz w:val="20"/>
          <w:shd w:val="clear" w:fill="FFFFFF"/>
          <w14:textFill>
            <w14:solidFill>
              <w14:schemeClr w14:val="tx1"/>
            </w14:solidFill>
          </w14:textFill>
        </w:rPr>
        <w:t>为保障更好地应对各种突发情况，</w:t>
      </w:r>
      <w:r>
        <w:rPr>
          <w:rFonts w:ascii="仿宋_GB2312" w:hAnsi="仿宋_GB2312" w:eastAsia="仿宋_GB2312" w:cs="仿宋_GB2312"/>
          <w:color w:val="000000" w:themeColor="text1"/>
          <w:sz w:val="20"/>
          <w14:textFill>
            <w14:solidFill>
              <w14:schemeClr w14:val="tx1"/>
            </w14:solidFill>
          </w14:textFill>
        </w:rPr>
        <w:t>投标人在接到采购人通知后需在2-6小时内到场处理。</w:t>
      </w:r>
    </w:p>
    <w:p w14:paraId="4196AF4C">
      <w:pPr>
        <w:pStyle w:val="6"/>
        <w:ind w:firstLine="402"/>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四、其他事项</w:t>
      </w:r>
    </w:p>
    <w:p w14:paraId="4E77DBF2">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1、除招标文件另有规定外，若出现有关法律、法规和规章有强制性规定但招标文件未列明的情形，则投标人应按照有关法律、法规和规章强制性规定执行。</w:t>
      </w:r>
    </w:p>
    <w:p w14:paraId="03F6441C">
      <w:pPr>
        <w:pStyle w:val="6"/>
        <w:ind w:firstLine="48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2、其他：本招标文件未明确的其它约定事项或条款，待采购人与中标人签订合同时，由双方协商订立。</w:t>
      </w:r>
    </w:p>
    <w:p w14:paraId="0E0A376B">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3788361D">
      <w:pPr>
        <w:pStyle w:val="6"/>
        <w:jc w:val="center"/>
        <w:outlineLvl w:val="1"/>
        <w:rPr>
          <w:color w:val="000000" w:themeColor="text1"/>
          <w14:textFill>
            <w14:solidFill>
              <w14:schemeClr w14:val="tx1"/>
            </w14:solidFill>
          </w14:textFill>
        </w:rPr>
      </w:pPr>
      <w:r>
        <w:rPr>
          <w:rFonts w:ascii="仿宋_GB2312" w:hAnsi="仿宋_GB2312" w:eastAsia="仿宋_GB2312" w:cs="仿宋_GB2312"/>
          <w:b/>
          <w:color w:val="000000" w:themeColor="text1"/>
          <w:sz w:val="36"/>
          <w14:textFill>
            <w14:solidFill>
              <w14:schemeClr w14:val="tx1"/>
            </w14:solidFill>
          </w14:textFill>
        </w:rPr>
        <w:t>第六章 政府采购合同</w:t>
      </w:r>
    </w:p>
    <w:p w14:paraId="379A782E">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参考文本</w:t>
      </w:r>
    </w:p>
    <w:p w14:paraId="34B901D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合同编号：</w:t>
      </w:r>
    </w:p>
    <w:p w14:paraId="22118CD1">
      <w:pPr>
        <w:pStyle w:val="6"/>
        <w:jc w:val="center"/>
        <w:outlineLvl w:val="1"/>
        <w:rPr>
          <w:color w:val="000000" w:themeColor="text1"/>
          <w14:textFill>
            <w14:solidFill>
              <w14:schemeClr w14:val="tx1"/>
            </w14:solidFill>
          </w14:textFill>
        </w:rPr>
      </w:pPr>
      <w:r>
        <w:rPr>
          <w:rFonts w:ascii="仿宋_GB2312" w:hAnsi="仿宋_GB2312" w:eastAsia="仿宋_GB2312" w:cs="仿宋_GB2312"/>
          <w:b/>
          <w:color w:val="000000" w:themeColor="text1"/>
          <w:sz w:val="36"/>
          <w14:textFill>
            <w14:solidFill>
              <w14:schemeClr w14:val="tx1"/>
            </w14:solidFill>
          </w14:textFill>
        </w:rPr>
        <w:t xml:space="preserve"> 福建省政府采购合同（服务类）</w:t>
      </w:r>
    </w:p>
    <w:p w14:paraId="5F8810FF">
      <w:pPr>
        <w:pStyle w:val="6"/>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编制说明</w:t>
      </w:r>
      <w:r>
        <w:rPr>
          <w:color w:val="000000" w:themeColor="text1"/>
          <w14:textFill>
            <w14:solidFill>
              <w14:schemeClr w14:val="tx1"/>
            </w14:solidFill>
          </w14:textFill>
        </w:rPr>
        <w:br w:type="textWrapping"/>
      </w:r>
    </w:p>
    <w:p w14:paraId="6DE6C857">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1.签订合同应遵守《中华人民共和国政府采购法》及其实施条例、《中华人民共和国民法典》等法律法规及其他有关规定。</w:t>
      </w:r>
    </w:p>
    <w:p w14:paraId="662DE3ED">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2.签订合同时，采购人与中标(成交)人应结合采购文件规定填列相应内容。采购文件已有约定的，双方均不得对约定进行变更或调整；采购文件未作规定的，双方可通过友好协商进行约定。</w:t>
      </w:r>
    </w:p>
    <w:p w14:paraId="43FF942D">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3.政府有关主管部门对若干合同有规范文本的，可使用相应合同文本。</w:t>
      </w:r>
    </w:p>
    <w:p w14:paraId="15C727E5">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4.本合同范本仅供参考，采购人应当根据采购项目的实际需求对合同条款进行修改、补充。</w:t>
      </w:r>
    </w:p>
    <w:p w14:paraId="7F29EEA1">
      <w:pPr>
        <w:pStyle w:val="6"/>
        <w:ind w:left="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甲方：</w:t>
      </w:r>
    </w:p>
    <w:p w14:paraId="54569AB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住所地：________________</w:t>
      </w:r>
    </w:p>
    <w:p w14:paraId="3F5F82E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联系人：________________</w:t>
      </w:r>
    </w:p>
    <w:p w14:paraId="5B5CC97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联系电话：______________</w:t>
      </w:r>
    </w:p>
    <w:p w14:paraId="267C3DA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传真：________________</w:t>
      </w:r>
    </w:p>
    <w:p w14:paraId="171F4C7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电子邮箱：________________</w:t>
      </w:r>
      <w:r>
        <w:rPr>
          <w:color w:val="000000" w:themeColor="text1"/>
          <w14:textFill>
            <w14:solidFill>
              <w14:schemeClr w14:val="tx1"/>
            </w14:solidFill>
          </w14:textFill>
        </w:rPr>
        <w:br w:type="textWrapping"/>
      </w:r>
    </w:p>
    <w:p w14:paraId="4AAFF449">
      <w:pPr>
        <w:pStyle w:val="6"/>
        <w:ind w:left="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乙方： ________________</w:t>
      </w:r>
    </w:p>
    <w:p w14:paraId="26F0F90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住所地： ________________</w:t>
      </w:r>
    </w:p>
    <w:p w14:paraId="1C1BA0F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联系人：______________</w:t>
      </w:r>
    </w:p>
    <w:p w14:paraId="1FEA15B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联系电话：______________</w:t>
      </w:r>
    </w:p>
    <w:p w14:paraId="1CDD3DE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传真：________________</w:t>
      </w:r>
    </w:p>
    <w:p w14:paraId="585089A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电子邮箱：________________</w:t>
      </w:r>
    </w:p>
    <w:p w14:paraId="76BB64A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根据项目编号为___________ 的 __________项目（以下简称：“本项目”）的采购结果，遵循平等、自愿、公平和诚实信用的原则，双方签署本合同，具体内容如下：</w:t>
      </w:r>
    </w:p>
    <w:p w14:paraId="6EA3F8F6">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一、合同组成部分</w:t>
      </w:r>
    </w:p>
    <w:p w14:paraId="3B9C72B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1.1本合同条款及附件；</w:t>
      </w:r>
    </w:p>
    <w:p w14:paraId="30D9AE1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1.2采购文件及其附件、补充文件；</w:t>
      </w:r>
    </w:p>
    <w:p w14:paraId="26E0017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1.3乙方的响应文件及其附件、补充文件；</w:t>
      </w:r>
    </w:p>
    <w:p w14:paraId="00CE1D5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1.4其他文件或材料：</w:t>
      </w:r>
    </w:p>
    <w:p w14:paraId="39389D58">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二、合同标的</w:t>
      </w:r>
      <w:r>
        <w:rPr>
          <w:color w:val="000000" w:themeColor="text1"/>
          <w14:textFill>
            <w14:solidFill>
              <w14:schemeClr w14:val="tx1"/>
            </w14:solidFill>
          </w14:textFill>
        </w:rPr>
        <w:br w:type="textWrapping"/>
      </w:r>
    </w:p>
    <w:p w14:paraId="2BDD88C0">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三、价格形式及合同价款</w:t>
      </w:r>
    </w:p>
    <w:p w14:paraId="2A5774DE">
      <w:pPr>
        <w:pStyle w:val="6"/>
        <w:jc w:val="left"/>
        <w:outlineLvl w:val="4"/>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 xml:space="preserve"> 3.1价格形式</w:t>
      </w:r>
    </w:p>
    <w:p w14:paraId="3C8EA6A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固定单价合同。完成约定服务事项的含税合同单价为：人民币（大写）元（￥ _____________元）。</w:t>
      </w:r>
    </w:p>
    <w:p w14:paraId="14D1518D">
      <w:pPr>
        <w:pStyle w:val="6"/>
        <w:spacing w:line="300" w:lineRule="auto"/>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固定总价合同。完成约定服务事项的含税服务费用为：人民币（大写）元（￥_____________ 元）。</w:t>
      </w:r>
    </w:p>
    <w:p w14:paraId="3599D69D">
      <w:pPr>
        <w:pStyle w:val="6"/>
        <w:spacing w:line="300" w:lineRule="auto"/>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其他方式。</w:t>
      </w:r>
    </w:p>
    <w:p w14:paraId="64D134B6">
      <w:pPr>
        <w:pStyle w:val="6"/>
        <w:spacing w:line="300" w:lineRule="auto"/>
        <w:jc w:val="left"/>
        <w:outlineLvl w:val="4"/>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 xml:space="preserve"> 3.2合同价款包含范围</w:t>
      </w:r>
    </w:p>
    <w:p w14:paraId="682342E4">
      <w:pPr>
        <w:pStyle w:val="6"/>
        <w:jc w:val="left"/>
        <w:outlineLvl w:val="4"/>
        <w:rPr>
          <w:color w:val="000000" w:themeColor="text1"/>
          <w14:textFill>
            <w14:solidFill>
              <w14:schemeClr w14:val="tx1"/>
            </w14:solidFill>
          </w14:textFill>
        </w:rPr>
      </w:pPr>
      <w:r>
        <w:rPr>
          <w:rFonts w:ascii="仿宋_GB2312" w:hAnsi="仿宋_GB2312" w:eastAsia="仿宋_GB2312" w:cs="仿宋_GB2312"/>
          <w:b/>
          <w:color w:val="000000" w:themeColor="text1"/>
          <w:sz w:val="20"/>
          <w14:textFill>
            <w14:solidFill>
              <w14:schemeClr w14:val="tx1"/>
            </w14:solidFill>
          </w14:textFill>
        </w:rPr>
        <w:t xml:space="preserve"> 3.3其他需说明的事项：</w:t>
      </w:r>
    </w:p>
    <w:p w14:paraId="3CA0D99E">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四、合同标的及服务范围、地点和时间</w:t>
      </w:r>
    </w:p>
    <w:p w14:paraId="7E3DD4F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4.1项目名称： _____________</w:t>
      </w:r>
    </w:p>
    <w:p w14:paraId="59E2B63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4.2服务范围：_____________</w:t>
      </w:r>
    </w:p>
    <w:p w14:paraId="1A8D63C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4.3服务地点：_____________</w:t>
      </w:r>
    </w:p>
    <w:p w14:paraId="07746CD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4.4服务完成时间：_____________</w:t>
      </w:r>
    </w:p>
    <w:p w14:paraId="0416949C">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五、服务内容、质量标准和要求</w:t>
      </w:r>
    </w:p>
    <w:p w14:paraId="4ED3867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5.1服务工作量的计量方式：_____________</w:t>
      </w:r>
    </w:p>
    <w:p w14:paraId="60ABCE3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5.2服务内容：_____________</w:t>
      </w:r>
    </w:p>
    <w:p w14:paraId="4078013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5.3技术保障、服务人员组成、所涉及的货物的质量标准：</w:t>
      </w:r>
    </w:p>
    <w:p w14:paraId="1958EBD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（1）服务技术保障：_____________</w:t>
      </w:r>
    </w:p>
    <w:p w14:paraId="71315FC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（2）服务人员组成：_____________</w:t>
      </w:r>
    </w:p>
    <w:p w14:paraId="4D1B59E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（3）服务设备及物资投入及质量标准：_____________</w:t>
      </w:r>
    </w:p>
    <w:p w14:paraId="0C3012E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5.4服务质量标准及要求：</w:t>
      </w:r>
    </w:p>
    <w:p w14:paraId="22A3D3C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27A70C4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62586C7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5.4.3其他要求：</w:t>
      </w:r>
    </w:p>
    <w:p w14:paraId="7E425BED">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六、服务履约验收或考核</w:t>
      </w:r>
    </w:p>
    <w:p w14:paraId="3D7B269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4A650C48">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七、甲方的权利与义务</w:t>
      </w:r>
    </w:p>
    <w:p w14:paraId="3C0F92E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7.1甲方委派___________为联系人，联系方式 ___________，负责与乙方联系。如甲方联系人发生变更，甲方应书面告知乙方。</w:t>
      </w:r>
    </w:p>
    <w:p w14:paraId="1152455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7.2甲方应为乙方开展服务工作提供必要的工作条件，以及对内对外沟通和配合协助。</w:t>
      </w:r>
    </w:p>
    <w:p w14:paraId="7DEF4DC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7.3甲方应于___________之前提供服务所需的全部资料，并对所提供材料真实性、完整性、合法性负责。</w:t>
      </w:r>
    </w:p>
    <w:p w14:paraId="0ED3D72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393416A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7.5甲方应按本合同约定及时足额支付服务费用及相关费用。</w:t>
      </w:r>
    </w:p>
    <w:p w14:paraId="24F17AD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7.6其他</w:t>
      </w:r>
    </w:p>
    <w:p w14:paraId="02E90EB1">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八、乙方的权利与义务</w:t>
      </w:r>
    </w:p>
    <w:p w14:paraId="5A98896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8.1乙方委派___________为联系人，联系方式 ___________，负责与甲方联系。如乙方联系人发生变更，乙方应书面告知甲方</w:t>
      </w:r>
    </w:p>
    <w:p w14:paraId="6F6777A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8.2乙方应国家法律法规和{{乙方的权利与义务-响应要求-福建}}等要求开展{{乙方的权利与义务-开展服务-福建}}服务；</w:t>
      </w:r>
    </w:p>
    <w:p w14:paraId="53D1F8C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8.3乙方及其所委派服务人员应按标准或协议约定方式出具服务成果，并对其真实性和合法性负法律责任；</w:t>
      </w:r>
    </w:p>
    <w:p w14:paraId="09608BB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8.4乙方对执行业务过程中知悉的国家秘密或甲方的商业秘密保密。除非国家法律法规及行业规范另有规定,或经甲方同意,乙方不得将其知悉的商业秘密和甲方提供的资料对外泄露。</w:t>
      </w:r>
    </w:p>
    <w:p w14:paraId="4C92EDF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8.5乙方对服务业务应当单独建档，保存完整的工作记录，并对服务过程使用和暂存甲方的文件、材料和财物应当妥善保管。</w:t>
      </w:r>
    </w:p>
    <w:p w14:paraId="3AB7B29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8.6服务工作结束后,乙方将根据情况对甲方服务相关的管理制度及其他事项等提出改进意见。</w:t>
      </w:r>
    </w:p>
    <w:p w14:paraId="3B4EB91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8.7乙方完全遵守《中华人民共和国劳动合同法》有关规定和《中华人民共和国妇女权益保障法》中关于“劳动和社会保障权益”的有关要求。</w:t>
      </w:r>
    </w:p>
    <w:p w14:paraId="1D6CBC4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8.8其他</w:t>
      </w:r>
    </w:p>
    <w:p w14:paraId="5E51F000">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九、资金支付方式、时间和条件</w:t>
      </w:r>
      <w:r>
        <w:rPr>
          <w:color w:val="000000" w:themeColor="text1"/>
          <w14:textFill>
            <w14:solidFill>
              <w14:schemeClr w14:val="tx1"/>
            </w14:solidFill>
          </w14:textFill>
        </w:rPr>
        <w:br w:type="textWrapping"/>
      </w:r>
    </w:p>
    <w:p w14:paraId="1FDC0A57">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十、履约保证金</w:t>
      </w:r>
    </w:p>
    <w:p w14:paraId="2892DAC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□有，□无。具体如下：（按照采购文件规定填写）。</w:t>
      </w:r>
    </w:p>
    <w:p w14:paraId="7EC8335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10.1乙方向甲方缴纳人民币 / 元作为本合同的履约保证金。</w:t>
      </w:r>
    </w:p>
    <w:p w14:paraId="3B67098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10.2履约保证金缴纳形式：支票/汇票/电汇/保函等非现金形式。</w:t>
      </w:r>
    </w:p>
    <w:p w14:paraId="4198A11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10.3履约保证金合同履行完毕前有效，合同履行完毕后一次性结清退还。</w:t>
      </w:r>
    </w:p>
    <w:p w14:paraId="4D505998">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十一、合同期限</w:t>
      </w:r>
      <w:r>
        <w:rPr>
          <w:color w:val="000000" w:themeColor="text1"/>
          <w14:textFill>
            <w14:solidFill>
              <w14:schemeClr w14:val="tx1"/>
            </w14:solidFill>
          </w14:textFill>
        </w:rPr>
        <w:br w:type="textWrapping"/>
      </w:r>
    </w:p>
    <w:p w14:paraId="01365F3D">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十二、保密条款</w:t>
      </w:r>
    </w:p>
    <w:p w14:paraId="0A4E296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12.1对于在采购和合同履行过程中所获悉的属于保密的内容，甲、乙双方均负有保密义务。</w:t>
      </w:r>
    </w:p>
    <w:p w14:paraId="05C4289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12.2其他</w:t>
      </w:r>
    </w:p>
    <w:p w14:paraId="4E7777B4">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十三、违约责任</w:t>
      </w:r>
    </w:p>
    <w:p w14:paraId="46C0DA3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13.1甲方违约责任</w:t>
      </w:r>
    </w:p>
    <w:p w14:paraId="6AA6695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（1）甲方无正当理由拒绝乙方提供合格服务的，甲方应向乙方偿付所拒收合同总价________的违约金</w:t>
      </w:r>
    </w:p>
    <w:p w14:paraId="57ED135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（2）甲方无故逾期验收和办理合同款项支付手续的,甲方应按逾期付款总额每日________向乙方支付违约金。</w:t>
      </w:r>
    </w:p>
    <w:p w14:paraId="7497B08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（3）其他违约情形</w:t>
      </w:r>
    </w:p>
    <w:p w14:paraId="2328499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13.2乙方违约责任</w:t>
      </w:r>
    </w:p>
    <w:p w14:paraId="5F14ED9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（1）乙方逾期履行服务的，乙方应按逾期交付总额每日________向甲方支付违约金，由甲方从待付货款中扣除。乙方无正当理由逾期超过约定日期________仍不能交付的，视为“乙方不按合同约定履约”；</w:t>
      </w:r>
    </w:p>
    <w:p w14:paraId="6784C41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（2）乙方所履行的服务不符合合同规定及《采购文件》规定标准的，甲方有权拒绝，乙方愿意整改但逾期履行的，按乙方逾期履行处理。乙方拒绝整改的，视为“乙方不按合同约定履约”</w:t>
      </w:r>
    </w:p>
    <w:p w14:paraId="4CCB7EE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（3）乙方不按合同约定履约的，甲方可以解除采购合同，并对乙方已缴纳的履约保证金作“不予退还”处理。同时，乙方须按以下约定向甲方支付违约金：</w:t>
      </w:r>
    </w:p>
    <w:p w14:paraId="70F31C8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（4）其他违约情形</w:t>
      </w:r>
    </w:p>
    <w:p w14:paraId="0F6BE041">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十四、不可抗力事件处理</w:t>
      </w:r>
    </w:p>
    <w:p w14:paraId="66C175C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5E6A03BD">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十五、解决争议的方法</w:t>
      </w:r>
    </w:p>
    <w:p w14:paraId="5DAE1CC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15.1甲、乙双方协商解决。</w:t>
      </w:r>
    </w:p>
    <w:p w14:paraId="7D8BDAC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15.2若协商解决不成，双方明确按以下第_种方式解决：</w:t>
      </w:r>
    </w:p>
    <w:p w14:paraId="7B9DA52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1、提交仲裁委员会仲裁，具体如下：</w:t>
      </w:r>
    </w:p>
    <w:p w14:paraId="58B1D047">
      <w:pPr>
        <w:pStyle w:val="6"/>
        <w:spacing w:line="300" w:lineRule="auto"/>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2、向______人民法院提起诉讼。</w:t>
      </w:r>
    </w:p>
    <w:p w14:paraId="344956ED">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十六、合同其他条款</w:t>
      </w:r>
      <w:r>
        <w:rPr>
          <w:color w:val="000000" w:themeColor="text1"/>
          <w14:textFill>
            <w14:solidFill>
              <w14:schemeClr w14:val="tx1"/>
            </w14:solidFill>
          </w14:textFill>
        </w:rPr>
        <w:br w:type="textWrapping"/>
      </w:r>
    </w:p>
    <w:p w14:paraId="35EDDE23">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十七、其他约定</w:t>
      </w:r>
    </w:p>
    <w:p w14:paraId="73F5870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17.1合同文件与本合同具有同等法律效力。</w:t>
      </w:r>
    </w:p>
    <w:p w14:paraId="02ACA7E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5F2268F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17.3本合同未尽事宜，遵照《中华人民共和国民法典》有关条文执行。</w:t>
      </w:r>
    </w:p>
    <w:p w14:paraId="70C3AF1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17.4本合同正本一式_______份，具有同等法律效力，甲方、乙方各执_______份；副本_______份，_______</w:t>
      </w:r>
    </w:p>
    <w:p w14:paraId="55305CB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17.5其他</w:t>
      </w:r>
    </w:p>
    <w:p w14:paraId="60849F84">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十八、合同附件</w:t>
      </w:r>
    </w:p>
    <w:p w14:paraId="7A98A9E4">
      <w:pPr>
        <w:pStyle w:val="6"/>
        <w:jc w:val="left"/>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 xml:space="preserve"> 十九、合同融资支付约定</w:t>
      </w:r>
    </w:p>
    <w:p w14:paraId="02D9C7AF">
      <w:pPr>
        <w:pStyle w:val="6"/>
        <w:jc w:val="left"/>
        <w:rPr>
          <w:color w:val="000000" w:themeColor="text1"/>
          <w14:textFill>
            <w14:solidFill>
              <w14:schemeClr w14:val="tx1"/>
            </w14:solidFill>
          </w14:textFill>
        </w:rPr>
      </w:pPr>
      <w:r>
        <w:rPr>
          <w:rFonts w:ascii="仿宋_GB2312" w:hAnsi="仿宋_GB2312" w:eastAsia="仿宋_GB2312" w:cs="仿宋_GB2312"/>
          <w:b/>
          <w:color w:val="000000" w:themeColor="text1"/>
          <w14:textFill>
            <w14:solidFill>
              <w14:schemeClr w14:val="tx1"/>
            </w14:solidFill>
          </w14:textFill>
        </w:rPr>
        <w:t>19.1本合同已用于政府采购合同融资，为本项目提供合同融资的金融机构为：_______，本合同项下所有款项，甲方须支付至本合同约定的乙方账号，未经_______书面同意，不得变更账号。</w:t>
      </w:r>
    </w:p>
    <w:p w14:paraId="186B260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中标（成交）供应商应于采购合同签订之日起_______内，向发放政采贷的金融机构提交政府采购中标（成交）通知书和政府采购合同，贷款金额以政府采购合同金额为限。</w:t>
      </w:r>
      <w:r>
        <w:rPr>
          <w:color w:val="000000" w:themeColor="text1"/>
          <w14:textFill>
            <w14:solidFill>
              <w14:schemeClr w14:val="tx1"/>
            </w14:solidFill>
          </w14:textFill>
        </w:rPr>
        <w:br w:type="textWrapping"/>
      </w:r>
      <w:r>
        <w:rPr>
          <w:color w:val="000000" w:themeColor="text1"/>
          <w14:textFill>
            <w14:solidFill>
              <w14:schemeClr w14:val="tx1"/>
            </w14:solidFill>
          </w14:textFill>
        </w:rPr>
        <w:br w:type="textWrapping"/>
      </w:r>
    </w:p>
    <w:p w14:paraId="3501ACD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甲方（采购人）：</w:t>
      </w:r>
    </w:p>
    <w:p w14:paraId="5D9E856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法定（授权）代表人：</w:t>
      </w:r>
    </w:p>
    <w:p w14:paraId="3A8F445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纳税人识别号：</w:t>
      </w:r>
    </w:p>
    <w:p w14:paraId="13D9099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开户银行：</w:t>
      </w:r>
    </w:p>
    <w:p w14:paraId="19DD71F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账号：</w:t>
      </w:r>
    </w:p>
    <w:p w14:paraId="6FBE997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乙方（中标或成交人）：</w:t>
      </w:r>
    </w:p>
    <w:p w14:paraId="2955E7E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法定（授权）代表人：</w:t>
      </w:r>
    </w:p>
    <w:p w14:paraId="4353647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纳税人识别号：</w:t>
      </w:r>
    </w:p>
    <w:p w14:paraId="7A421D8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开户银行：</w:t>
      </w:r>
    </w:p>
    <w:p w14:paraId="73AFD0E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账号：</w:t>
      </w:r>
    </w:p>
    <w:p w14:paraId="2947DE4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签订地点：_____________</w:t>
      </w:r>
    </w:p>
    <w:p w14:paraId="50F3AEB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签订日期：____年___月___日</w:t>
      </w:r>
    </w:p>
    <w:p w14:paraId="118BB4E0">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3CB3B466">
      <w:pPr>
        <w:pStyle w:val="6"/>
        <w:jc w:val="center"/>
        <w:outlineLvl w:val="1"/>
        <w:rPr>
          <w:color w:val="000000" w:themeColor="text1"/>
          <w14:textFill>
            <w14:solidFill>
              <w14:schemeClr w14:val="tx1"/>
            </w14:solidFill>
          </w14:textFill>
        </w:rPr>
      </w:pPr>
      <w:r>
        <w:rPr>
          <w:rFonts w:ascii="仿宋_GB2312" w:hAnsi="仿宋_GB2312" w:eastAsia="仿宋_GB2312" w:cs="仿宋_GB2312"/>
          <w:b/>
          <w:color w:val="000000" w:themeColor="text1"/>
          <w:sz w:val="36"/>
          <w14:textFill>
            <w14:solidFill>
              <w14:schemeClr w14:val="tx1"/>
            </w14:solidFill>
          </w14:textFill>
        </w:rPr>
        <w:t>第七章 电子投标文件格式</w:t>
      </w:r>
    </w:p>
    <w:p w14:paraId="0B5EC57E">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编制说明</w:t>
      </w:r>
    </w:p>
    <w:p w14:paraId="3B34F8B7">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1、除招标文件另有规定外，本章中：</w:t>
      </w:r>
    </w:p>
    <w:p w14:paraId="5D74563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1.1涉及投标人的“全称”：</w:t>
      </w:r>
    </w:p>
    <w:p w14:paraId="1E65F55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（1）不接受联合体投标的，指投标人的全称。</w:t>
      </w:r>
    </w:p>
    <w:p w14:paraId="625C4507">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（2）接受联合体投标且投标人为联合体的，指牵头方的全称并加注（联合体牵头方），即应表述为：“牵头方的全称（联合体牵头方）”。</w:t>
      </w:r>
    </w:p>
    <w:p w14:paraId="4066425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1.2涉及投标人“加盖单位公章”：</w:t>
      </w:r>
    </w:p>
    <w:p w14:paraId="57F30A3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（1）不接受联合体投标的，指加盖投标人的单位公章。</w:t>
      </w:r>
    </w:p>
    <w:p w14:paraId="1207FB2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（2）接受联合体投标且投标人为联合体的，指加盖联合体牵头方的单位公章。</w:t>
      </w:r>
    </w:p>
    <w:p w14:paraId="54CDC40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1.3涉及“投标人代表签字”：</w:t>
      </w:r>
    </w:p>
    <w:p w14:paraId="3F367BA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（1）不接受联合体投标的，指由投标人的单位负责人或其授权的委托代理人签字，由委托代理人签字的，应提供“单位授权书”。</w:t>
      </w:r>
    </w:p>
    <w:p w14:paraId="3772C905">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（2）接受联合体投标且投标人为联合体的，指由联合体牵头方的单位负责人或其授权的委托代理人签字，由委托代理人签字的，应提供“单位授权书”。</w:t>
      </w:r>
    </w:p>
    <w:p w14:paraId="32929A25">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1.4“其他组织”指合伙企业、非企业专业服务机构、个体工商户、农村承包经营户等。</w:t>
      </w:r>
    </w:p>
    <w:p w14:paraId="27541D4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1.5“自然人”指具有完全民事行为能力、能够承担民事责任和义务的中国公民。</w:t>
      </w:r>
    </w:p>
    <w:p w14:paraId="5F873DCB">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2、除招标文件另有规定外，本章中“投标人的资格及资信证明文件”：</w:t>
      </w:r>
    </w:p>
    <w:p w14:paraId="21A97ED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2.1投标人应按照招标文件第四章第1.3条第（2）款规定及本章规定进行编制，如有必要，可增加附页，附页作为资格及资信文件的组成部分。</w:t>
      </w:r>
    </w:p>
    <w:p w14:paraId="73103D87">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2.2接受联合体投标且投标人为联合体的，联合体中的各方均应按照本章第2.1条规定提交相应的全部资料。</w:t>
      </w:r>
    </w:p>
    <w:p w14:paraId="25CBE015">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3、投标人对电子投标文件的索引应编制页码。</w:t>
      </w:r>
    </w:p>
    <w:p w14:paraId="6FD2BB5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4、本章提供格式仅供参考，投标人应根据自身实际情况制作电子投标文件。</w:t>
      </w:r>
    </w:p>
    <w:p w14:paraId="79B7DE7D">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5861DC5C">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封面格式(资格及资信证明部分)</w:t>
      </w:r>
    </w:p>
    <w:p w14:paraId="2CEC2C1A">
      <w:pPr>
        <w:pStyle w:val="6"/>
        <w:jc w:val="center"/>
        <w:outlineLvl w:val="0"/>
        <w:rPr>
          <w:color w:val="000000" w:themeColor="text1"/>
          <w14:textFill>
            <w14:solidFill>
              <w14:schemeClr w14:val="tx1"/>
            </w14:solidFill>
          </w14:textFill>
        </w:rPr>
      </w:pPr>
      <w:r>
        <w:rPr>
          <w:rFonts w:ascii="仿宋_GB2312" w:hAnsi="仿宋_GB2312" w:eastAsia="仿宋_GB2312" w:cs="仿宋_GB2312"/>
          <w:b/>
          <w:color w:val="000000" w:themeColor="text1"/>
          <w:sz w:val="48"/>
          <w14:textFill>
            <w14:solidFill>
              <w14:schemeClr w14:val="tx1"/>
            </w14:solidFill>
          </w14:textFill>
        </w:rPr>
        <w:t>福建省政府采购投标文件</w:t>
      </w:r>
    </w:p>
    <w:p w14:paraId="5CE1B663">
      <w:pPr>
        <w:pStyle w:val="6"/>
        <w:jc w:val="center"/>
        <w:outlineLvl w:val="0"/>
        <w:rPr>
          <w:color w:val="000000" w:themeColor="text1"/>
          <w14:textFill>
            <w14:solidFill>
              <w14:schemeClr w14:val="tx1"/>
            </w14:solidFill>
          </w14:textFill>
        </w:rPr>
      </w:pPr>
      <w:r>
        <w:rPr>
          <w:rFonts w:ascii="仿宋_GB2312" w:hAnsi="仿宋_GB2312" w:eastAsia="仿宋_GB2312" w:cs="仿宋_GB2312"/>
          <w:b/>
          <w:color w:val="000000" w:themeColor="text1"/>
          <w:sz w:val="48"/>
          <w14:textFill>
            <w14:solidFill>
              <w14:schemeClr w14:val="tx1"/>
            </w14:solidFill>
          </w14:textFill>
        </w:rPr>
        <w:t>（资格及资信证明部分）</w:t>
      </w:r>
      <w:r>
        <w:rPr>
          <w:color w:val="000000" w:themeColor="text1"/>
          <w14:textFill>
            <w14:solidFill>
              <w14:schemeClr w14:val="tx1"/>
            </w14:solidFill>
          </w14:textFill>
        </w:rPr>
        <w:br w:type="textWrapping"/>
      </w:r>
      <w:r>
        <w:rPr>
          <w:color w:val="000000" w:themeColor="text1"/>
          <w14:textFill>
            <w14:solidFill>
              <w14:schemeClr w14:val="tx1"/>
            </w14:solidFill>
          </w14:textFill>
        </w:rPr>
        <w:br w:type="textWrapping"/>
      </w:r>
    </w:p>
    <w:p w14:paraId="6CB06473">
      <w:pPr>
        <w:pStyle w:val="6"/>
        <w:jc w:val="center"/>
        <w:outlineLvl w:val="1"/>
        <w:rPr>
          <w:color w:val="000000" w:themeColor="text1"/>
          <w14:textFill>
            <w14:solidFill>
              <w14:schemeClr w14:val="tx1"/>
            </w14:solidFill>
          </w14:textFill>
        </w:rPr>
      </w:pPr>
      <w:r>
        <w:rPr>
          <w:rFonts w:ascii="仿宋_GB2312" w:hAnsi="仿宋_GB2312" w:eastAsia="仿宋_GB2312" w:cs="仿宋_GB2312"/>
          <w:b/>
          <w:color w:val="000000" w:themeColor="text1"/>
          <w:sz w:val="36"/>
          <w14:textFill>
            <w14:solidFill>
              <w14:schemeClr w14:val="tx1"/>
            </w14:solidFill>
          </w14:textFill>
        </w:rPr>
        <w:t>（填写正本或副本）</w:t>
      </w:r>
      <w:r>
        <w:rPr>
          <w:color w:val="000000" w:themeColor="text1"/>
          <w14:textFill>
            <w14:solidFill>
              <w14:schemeClr w14:val="tx1"/>
            </w14:solidFill>
          </w14:textFill>
        </w:rPr>
        <w:br w:type="textWrapping"/>
      </w:r>
      <w:r>
        <w:rPr>
          <w:color w:val="000000" w:themeColor="text1"/>
          <w14:textFill>
            <w14:solidFill>
              <w14:schemeClr w14:val="tx1"/>
            </w14:solidFill>
          </w14:textFill>
        </w:rPr>
        <w:br w:type="textWrapping"/>
      </w:r>
      <w:r>
        <w:rPr>
          <w:color w:val="000000" w:themeColor="text1"/>
          <w14:textFill>
            <w14:solidFill>
              <w14:schemeClr w14:val="tx1"/>
            </w14:solidFill>
          </w14:textFill>
        </w:rPr>
        <w:br w:type="textWrapping"/>
      </w:r>
      <w:r>
        <w:rPr>
          <w:color w:val="000000" w:themeColor="text1"/>
          <w14:textFill>
            <w14:solidFill>
              <w14:schemeClr w14:val="tx1"/>
            </w14:solidFill>
          </w14:textFill>
        </w:rPr>
        <w:br w:type="textWrapping"/>
      </w:r>
    </w:p>
    <w:p w14:paraId="5C017FAC">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项目名称：（由投标人填写）</w:t>
      </w:r>
    </w:p>
    <w:p w14:paraId="43791B8C">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备案编号：（由投标人填写）</w:t>
      </w:r>
    </w:p>
    <w:p w14:paraId="6E41B35C">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项目编号：（由投标人填写）</w:t>
      </w:r>
    </w:p>
    <w:p w14:paraId="47C73E87">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所投采购包：（由投标人填写）</w:t>
      </w:r>
    </w:p>
    <w:p w14:paraId="2F044A4C">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投标人：（填写“全称”）</w:t>
      </w:r>
    </w:p>
    <w:p w14:paraId="3A679FCF">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（由投标人填写）年（由投标人填写）月</w:t>
      </w:r>
    </w:p>
    <w:p w14:paraId="442B837A">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26F4062F">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索引</w:t>
      </w:r>
    </w:p>
    <w:p w14:paraId="6D70390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一、投标函</w:t>
      </w:r>
    </w:p>
    <w:p w14:paraId="28EF4E8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二、投标人的资格及资信证明文件</w:t>
      </w:r>
    </w:p>
    <w:p w14:paraId="37E24B97">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三、投标保证金</w:t>
      </w:r>
    </w:p>
    <w:p w14:paraId="42D18C4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6DE520B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资格及资信证明部分中不得出现报价部分的全部或部分的投标报价信息（或组成资料），否则资格审查不合格。（联合体协议及分包意向协议中的比例规定，不适用本条款）</w:t>
      </w:r>
    </w:p>
    <w:p w14:paraId="7ED22304">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4CDFAA54">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一、投标函</w:t>
      </w:r>
    </w:p>
    <w:p w14:paraId="5D385EF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致：</w:t>
      </w:r>
      <w:r>
        <w:rPr>
          <w:rFonts w:ascii="仿宋_GB2312" w:hAnsi="仿宋_GB2312" w:eastAsia="仿宋_GB2312" w:cs="仿宋_GB2312"/>
          <w:color w:val="000000" w:themeColor="text1"/>
          <w:u w:val="single"/>
          <w14:textFill>
            <w14:solidFill>
              <w14:schemeClr w14:val="tx1"/>
            </w14:solidFill>
          </w14:textFill>
        </w:rPr>
        <w:t>（采购人或采购代理机构）</w:t>
      </w:r>
    </w:p>
    <w:p w14:paraId="407D8EF3">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兹收到贵单位关于</w:t>
      </w:r>
      <w:r>
        <w:rPr>
          <w:rFonts w:ascii="仿宋_GB2312" w:hAnsi="仿宋_GB2312" w:eastAsia="仿宋_GB2312" w:cs="仿宋_GB2312"/>
          <w:color w:val="000000" w:themeColor="text1"/>
          <w:u w:val="single"/>
          <w14:textFill>
            <w14:solidFill>
              <w14:schemeClr w14:val="tx1"/>
            </w14:solidFill>
          </w14:textFill>
        </w:rPr>
        <w:t xml:space="preserve">（填写“项目名称”） </w:t>
      </w:r>
      <w:r>
        <w:rPr>
          <w:rFonts w:ascii="仿宋_GB2312" w:hAnsi="仿宋_GB2312" w:eastAsia="仿宋_GB2312" w:cs="仿宋_GB2312"/>
          <w:color w:val="000000" w:themeColor="text1"/>
          <w14:textFill>
            <w14:solidFill>
              <w14:schemeClr w14:val="tx1"/>
            </w14:solidFill>
          </w14:textFill>
        </w:rPr>
        <w:t>项目</w:t>
      </w:r>
      <w:r>
        <w:rPr>
          <w:rFonts w:ascii="仿宋_GB2312" w:hAnsi="仿宋_GB2312" w:eastAsia="仿宋_GB2312" w:cs="仿宋_GB2312"/>
          <w:color w:val="000000" w:themeColor="text1"/>
          <w:u w:val="single"/>
          <w14:textFill>
            <w14:solidFill>
              <w14:schemeClr w14:val="tx1"/>
            </w14:solidFill>
          </w14:textFill>
        </w:rPr>
        <w:t xml:space="preserve">（项目编号：　　　　　） </w:t>
      </w:r>
      <w:r>
        <w:rPr>
          <w:rFonts w:ascii="仿宋_GB2312" w:hAnsi="仿宋_GB2312" w:eastAsia="仿宋_GB2312" w:cs="仿宋_GB2312"/>
          <w:color w:val="000000" w:themeColor="text1"/>
          <w14:textFill>
            <w14:solidFill>
              <w14:schemeClr w14:val="tx1"/>
            </w14:solidFill>
          </w14:textFill>
        </w:rPr>
        <w:t>的投标邀请，本投标人代表</w:t>
      </w:r>
      <w:r>
        <w:rPr>
          <w:rFonts w:ascii="仿宋_GB2312" w:hAnsi="仿宋_GB2312" w:eastAsia="仿宋_GB2312" w:cs="仿宋_GB2312"/>
          <w:color w:val="000000" w:themeColor="text1"/>
          <w:u w:val="single"/>
          <w14:textFill>
            <w14:solidFill>
              <w14:schemeClr w14:val="tx1"/>
            </w14:solidFill>
          </w14:textFill>
        </w:rPr>
        <w:t xml:space="preserve">（填写“全名”） </w:t>
      </w:r>
      <w:r>
        <w:rPr>
          <w:rFonts w:ascii="仿宋_GB2312" w:hAnsi="仿宋_GB2312" w:eastAsia="仿宋_GB2312" w:cs="仿宋_GB2312"/>
          <w:color w:val="000000" w:themeColor="text1"/>
          <w14:textFill>
            <w14:solidFill>
              <w14:schemeClr w14:val="tx1"/>
            </w14:solidFill>
          </w14:textFill>
        </w:rPr>
        <w:t>已获得我方正式授权并代表投标人（填写“全称”）参加投标，并提交电子投标文件。我方提交的全部电子投标文件由下述部分组成：</w:t>
      </w:r>
    </w:p>
    <w:p w14:paraId="4F24CE47">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（1）资格及资信证明部分</w:t>
      </w:r>
    </w:p>
    <w:p w14:paraId="5EC0936B">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①投标函</w:t>
      </w:r>
    </w:p>
    <w:p w14:paraId="3BB26A5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②投标人的资格及资信证明文件</w:t>
      </w:r>
    </w:p>
    <w:p w14:paraId="25DB4F4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③投标保证金</w:t>
      </w:r>
    </w:p>
    <w:p w14:paraId="5B092B3B">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（2）报价部分</w:t>
      </w:r>
    </w:p>
    <w:p w14:paraId="78E3D90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①开标一览表</w:t>
      </w:r>
    </w:p>
    <w:p w14:paraId="74C61CD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②投标分项报价表</w:t>
      </w:r>
    </w:p>
    <w:p w14:paraId="7648D26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③招标文件规定的价格扣除证明材料（若有）</w:t>
      </w:r>
    </w:p>
    <w:p w14:paraId="3DDC149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④招标文件规定的加分证明材料（若有）</w:t>
      </w:r>
    </w:p>
    <w:p w14:paraId="4FE484D7">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（3）技术商务部分</w:t>
      </w:r>
    </w:p>
    <w:p w14:paraId="5B876E6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①标的说明一览表</w:t>
      </w:r>
    </w:p>
    <w:p w14:paraId="57DB0B9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②技术和服务要求响应表</w:t>
      </w:r>
    </w:p>
    <w:p w14:paraId="2FC0D97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③商务条件响应表</w:t>
      </w:r>
    </w:p>
    <w:p w14:paraId="0B562FA5">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④投标人提交的其他资料（若有）</w:t>
      </w:r>
    </w:p>
    <w:p w14:paraId="1F55AB4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根据本函，本投标人代表宣布我方保证遵守招标文件的全部规定，同时：</w:t>
      </w:r>
    </w:p>
    <w:p w14:paraId="5C2254B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1、确认：</w:t>
      </w:r>
    </w:p>
    <w:p w14:paraId="22D3B51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1.1所投采购包的投标报价详见“开标一览表”及“投标分项报价表”。</w:t>
      </w:r>
    </w:p>
    <w:p w14:paraId="086F1C4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1.2我方已详细审查全部招标文件[包括但不限于：有关附件（若有）、澄清或修改（若有）等]，并自行承担因对全部招标文件理解不正确或误解而产生的相应后果和责任。</w:t>
      </w:r>
    </w:p>
    <w:p w14:paraId="692D90A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2、承诺及声明：</w:t>
      </w:r>
    </w:p>
    <w:p w14:paraId="71218D3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2.1我方具备招标文件第一章载明的“投标人的资格要求”且符合招标文件第三章载明的“二、投标人”之规定，否则投标无效。</w:t>
      </w:r>
    </w:p>
    <w:p w14:paraId="4F2F1D0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2.2我方提交的电子投标文件各组成部分的全部内容及资料是不可割离且真实、有效、准确、完整和不具有任何误导性的，否则产生不利后果由我方承担责任。</w:t>
      </w:r>
    </w:p>
    <w:p w14:paraId="5A76DB3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2.3我方提供的标的价格不高于同期市场价格，否则产生不利后果由我方承担责任。</w:t>
      </w:r>
    </w:p>
    <w:p w14:paraId="53E9930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2.4投标保证金：若出现招标文件第三章规定的不予退还情形，同意贵单位不予退还。</w:t>
      </w:r>
    </w:p>
    <w:p w14:paraId="635360E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2.5投标有效期：按照招标文件第三章规定执行，并在招标文件第二章载明的期限内保持有效。</w:t>
      </w:r>
    </w:p>
    <w:p w14:paraId="1BC79125">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2.6若中标，将按照招标文件、我方电子投标文件及政府采购合同履行责任和义务。</w:t>
      </w:r>
    </w:p>
    <w:p w14:paraId="26CF5D5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2.7若贵单位要求，我方同意提供与本项目投标有关的一切资料、数据或文件，并完全理解贵单位不一定要接受最低的投标报价或收到的任何投标。</w:t>
      </w:r>
    </w:p>
    <w:p w14:paraId="38C66D4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2.8 我方承诺遵守《中华人民共和国劳动合同法》有关规定和《中华人民共和国妇女权益保障法 》中关于“劳动和社会保障权益”的有关要求。</w:t>
      </w:r>
    </w:p>
    <w:p w14:paraId="4919802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2.9我方承诺电子投标文件所提供的全部资料真实可靠，并接受评标委员会、采购人、采购代理机构、监管部门进一步审查其中任何资料真实性的要求。</w:t>
      </w:r>
    </w:p>
    <w:p w14:paraId="39E5AB1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2.10除招标文件另有规定外，对于贵单位按照下述联络方式发出的任何信息或通知，均视为我方已收悉前述信息或通知的全部内容：</w:t>
      </w:r>
    </w:p>
    <w:p w14:paraId="226B5D4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通信地址：                                        </w:t>
      </w:r>
    </w:p>
    <w:p w14:paraId="100F8C6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邮编：                                           </w:t>
      </w:r>
    </w:p>
    <w:p w14:paraId="23C023B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联系方法：（包括但不限于：联系人、联系电话、手机、传真、电子邮箱等）</w:t>
      </w:r>
    </w:p>
    <w:p w14:paraId="03224B0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投标人：（全称并加盖单位公章）</w:t>
      </w:r>
    </w:p>
    <w:p w14:paraId="6C39820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    年   月   日</w:t>
      </w:r>
    </w:p>
    <w:p w14:paraId="46827107">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6E3A4C3C">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二、投标人的资格及资信证明文件</w:t>
      </w:r>
    </w:p>
    <w:p w14:paraId="7C915D3F">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二-1单位授权书（若有）</w:t>
      </w:r>
    </w:p>
    <w:p w14:paraId="56DAB2F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致：</w:t>
      </w:r>
      <w:r>
        <w:rPr>
          <w:rFonts w:ascii="仿宋_GB2312" w:hAnsi="仿宋_GB2312" w:eastAsia="仿宋_GB2312" w:cs="仿宋_GB2312"/>
          <w:color w:val="000000" w:themeColor="text1"/>
          <w:u w:val="single"/>
          <w14:textFill>
            <w14:solidFill>
              <w14:schemeClr w14:val="tx1"/>
            </w14:solidFill>
          </w14:textFill>
        </w:rPr>
        <w:t>（采购人或采购代理机构）</w:t>
      </w:r>
    </w:p>
    <w:p w14:paraId="016FF763">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我方的单位负责人</w:t>
      </w:r>
      <w:r>
        <w:rPr>
          <w:rFonts w:ascii="仿宋_GB2312" w:hAnsi="仿宋_GB2312" w:eastAsia="仿宋_GB2312" w:cs="仿宋_GB2312"/>
          <w:color w:val="000000" w:themeColor="text1"/>
          <w:u w:val="single"/>
          <w14:textFill>
            <w14:solidFill>
              <w14:schemeClr w14:val="tx1"/>
            </w14:solidFill>
          </w14:textFill>
        </w:rPr>
        <w:t>（填写“单位负责人全名”）</w:t>
      </w:r>
      <w:r>
        <w:rPr>
          <w:rFonts w:ascii="仿宋_GB2312" w:hAnsi="仿宋_GB2312" w:eastAsia="仿宋_GB2312" w:cs="仿宋_GB2312"/>
          <w:color w:val="000000" w:themeColor="text1"/>
          <w14:textFill>
            <w14:solidFill>
              <w14:schemeClr w14:val="tx1"/>
            </w14:solidFill>
          </w14:textFill>
        </w:rPr>
        <w:t>授权</w:t>
      </w:r>
      <w:r>
        <w:rPr>
          <w:rFonts w:ascii="仿宋_GB2312" w:hAnsi="仿宋_GB2312" w:eastAsia="仿宋_GB2312" w:cs="仿宋_GB2312"/>
          <w:color w:val="000000" w:themeColor="text1"/>
          <w:u w:val="single"/>
          <w14:textFill>
            <w14:solidFill>
              <w14:schemeClr w14:val="tx1"/>
            </w14:solidFill>
          </w14:textFill>
        </w:rPr>
        <w:t>（填写“投标人代表全名”）</w:t>
      </w:r>
      <w:r>
        <w:rPr>
          <w:rFonts w:ascii="仿宋_GB2312" w:hAnsi="仿宋_GB2312" w:eastAsia="仿宋_GB2312" w:cs="仿宋_GB2312"/>
          <w:color w:val="000000" w:themeColor="text1"/>
          <w14:textFill>
            <w14:solidFill>
              <w14:schemeClr w14:val="tx1"/>
            </w14:solidFill>
          </w14:textFill>
        </w:rPr>
        <w:t>为投标人代表，代表我方参加</w:t>
      </w:r>
      <w:r>
        <w:rPr>
          <w:rFonts w:ascii="仿宋_GB2312" w:hAnsi="仿宋_GB2312" w:eastAsia="仿宋_GB2312" w:cs="仿宋_GB2312"/>
          <w:color w:val="000000" w:themeColor="text1"/>
          <w:u w:val="single"/>
          <w14:textFill>
            <w14:solidFill>
              <w14:schemeClr w14:val="tx1"/>
            </w14:solidFill>
          </w14:textFill>
        </w:rPr>
        <w:t>（填写“项目名称”）</w:t>
      </w:r>
      <w:r>
        <w:rPr>
          <w:rFonts w:ascii="仿宋_GB2312" w:hAnsi="仿宋_GB2312" w:eastAsia="仿宋_GB2312" w:cs="仿宋_GB2312"/>
          <w:color w:val="000000" w:themeColor="text1"/>
          <w14:textFill>
            <w14:solidFill>
              <w14:schemeClr w14:val="tx1"/>
            </w14:solidFill>
          </w14:textFill>
        </w:rPr>
        <w:t>项目（项目编号：</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3279E21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投标人代表无转委权。特此授权。</w:t>
      </w:r>
    </w:p>
    <w:p w14:paraId="70DD5A1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（以下无正文）</w:t>
      </w:r>
    </w:p>
    <w:p w14:paraId="27F383F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单位负责人：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身份证号：</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手机：</w:t>
      </w:r>
      <w:r>
        <w:rPr>
          <w:rFonts w:ascii="仿宋_GB2312" w:hAnsi="仿宋_GB2312" w:eastAsia="仿宋_GB2312" w:cs="仿宋_GB2312"/>
          <w:color w:val="000000" w:themeColor="text1"/>
          <w:u w:val="single"/>
          <w14:textFill>
            <w14:solidFill>
              <w14:schemeClr w14:val="tx1"/>
            </w14:solidFill>
          </w14:textFill>
        </w:rPr>
        <w:t>　　　　　</w:t>
      </w:r>
    </w:p>
    <w:p w14:paraId="0495D55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投标人代表：</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身份证号：</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手机：</w:t>
      </w:r>
      <w:r>
        <w:rPr>
          <w:rFonts w:ascii="仿宋_GB2312" w:hAnsi="仿宋_GB2312" w:eastAsia="仿宋_GB2312" w:cs="仿宋_GB2312"/>
          <w:color w:val="000000" w:themeColor="text1"/>
          <w:u w:val="single"/>
          <w14:textFill>
            <w14:solidFill>
              <w14:schemeClr w14:val="tx1"/>
            </w14:solidFill>
          </w14:textFill>
        </w:rPr>
        <w:t>　　　　　</w:t>
      </w:r>
    </w:p>
    <w:p w14:paraId="2C4B6C0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授权方</w:t>
      </w:r>
    </w:p>
    <w:p w14:paraId="1EC51A4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5108DF91">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签署日期： 年 月 日</w:t>
      </w:r>
    </w:p>
    <w:p w14:paraId="10374AD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附：单位负责人、投标人代表的身份证正反面复印件</w:t>
      </w:r>
    </w:p>
    <w:p w14:paraId="1171BE77">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要求：真实有效且内容完整、清晰、整洁。</w:t>
      </w:r>
    </w:p>
    <w:p w14:paraId="022179B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55123CC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1、企业（银行、保险、石油石化、电力、电信等行业除外）、事业单位和社会团体法人的“单位负责人”指法定代表人，即与实际提交的“营业执照等证明文件”载明的一致。</w:t>
      </w:r>
    </w:p>
    <w:p w14:paraId="5038D06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19D5146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3、投标人（自然人除外）：若投标人代表为单位授权的委托代理人，应提供本授权书；若投标人代表为单位负责人，应在此项下提交其身份证正反面复印件，可不提供本授权书。</w:t>
      </w:r>
    </w:p>
    <w:p w14:paraId="76D6250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4、投标人为自然人的，可不填写本授权书。</w:t>
      </w:r>
    </w:p>
    <w:p w14:paraId="6293BC0F">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0B8C81C3">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二-2 证明材料</w:t>
      </w:r>
    </w:p>
    <w:p w14:paraId="7F35CBC5">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262606A2">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二-2-1 福建省政府采购供应商资格承诺函</w:t>
      </w:r>
    </w:p>
    <w:p w14:paraId="682F33C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致：</w:t>
      </w:r>
      <w:r>
        <w:rPr>
          <w:rFonts w:ascii="仿宋_GB2312" w:hAnsi="仿宋_GB2312" w:eastAsia="仿宋_GB2312" w:cs="仿宋_GB2312"/>
          <w:color w:val="000000" w:themeColor="text1"/>
          <w:u w:val="single"/>
          <w14:textFill>
            <w14:solidFill>
              <w14:schemeClr w14:val="tx1"/>
            </w14:solidFill>
          </w14:textFill>
        </w:rPr>
        <w:t>（采购人或采购代理机构）</w:t>
      </w:r>
    </w:p>
    <w:p w14:paraId="5F836325">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单位名称(自然人姓名):</w:t>
      </w:r>
    </w:p>
    <w:p w14:paraId="4B0E1ACB">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统一社会信用代码(自然人身份证号码):</w:t>
      </w:r>
    </w:p>
    <w:p w14:paraId="6598AA8C">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法定代表人(负责人):</w:t>
      </w:r>
    </w:p>
    <w:p w14:paraId="26B93D55">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联系地址和电话:</w:t>
      </w:r>
    </w:p>
    <w:p w14:paraId="39E1479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我单位(本人)自愿参加本次政府采购活动，严格遵守《中华人民共和国政府采购法》及相关法律法规，坚守公开、公平公正和诚实信用等原则，依法诚信经营，并郑重承诺:</w:t>
      </w:r>
    </w:p>
    <w:p w14:paraId="1E92955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一、我单位(本人)具备采购文件要求以及《中华人民共和国政府采购法》第二十二条规定的条件:</w:t>
      </w:r>
    </w:p>
    <w:p w14:paraId="6956AC13">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1.具有独立承担民事责任的能力;</w:t>
      </w:r>
    </w:p>
    <w:p w14:paraId="1B66FBC2">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2.具有良好的商业信誉和健全的财务会计制度;</w:t>
      </w:r>
    </w:p>
    <w:p w14:paraId="791F88FE">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3.具有履行合同所必需的设备和专业技术能力;</w:t>
      </w:r>
    </w:p>
    <w:p w14:paraId="573D3ECE">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4.有依法缴纳税收和社会保障资金的良好记录;</w:t>
      </w:r>
    </w:p>
    <w:p w14:paraId="02419ECB">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5.参加政府采购活动前三年内，在经营活动中没有重大违法记录；</w:t>
      </w:r>
    </w:p>
    <w:p w14:paraId="2935CD52">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6.法律、行政法规规定的其他条件。</w:t>
      </w:r>
    </w:p>
    <w:p w14:paraId="75606F8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5E03374B">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726E245E">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供应商：</w:t>
      </w:r>
      <w:r>
        <w:rPr>
          <w:rFonts w:ascii="仿宋_GB2312" w:hAnsi="仿宋_GB2312" w:eastAsia="仿宋_GB2312" w:cs="仿宋_GB2312"/>
          <w:color w:val="000000" w:themeColor="text1"/>
          <w:u w:val="single"/>
          <w14:textFill>
            <w14:solidFill>
              <w14:schemeClr w14:val="tx1"/>
            </w14:solidFill>
          </w14:textFill>
        </w:rPr>
        <w:t>名称(单位公章)</w:t>
      </w:r>
    </w:p>
    <w:p w14:paraId="0E0053EE">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1451F5D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w:t>
      </w:r>
    </w:p>
    <w:p w14:paraId="2DD5FE5D">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1.我单位(本人)专指参加政府采购活动的供应商(含自然人)；</w:t>
      </w:r>
    </w:p>
    <w:p w14:paraId="372F10F3">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2.资格承诺的供应商应在投标(响应)文件中按此模板提供承诺函，否则，视为未按照招标文件规定提交投标人的资格及资信文件，按资格审查不通过处理。</w:t>
      </w:r>
    </w:p>
    <w:p w14:paraId="73D3498B">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08079807">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二-2-2 资格证明材料</w:t>
      </w:r>
    </w:p>
    <w:p w14:paraId="4DD63BA7">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营业执照等证明文件</w:t>
      </w:r>
    </w:p>
    <w:p w14:paraId="1D33FBB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致：</w:t>
      </w:r>
      <w:r>
        <w:rPr>
          <w:rFonts w:ascii="仿宋_GB2312" w:hAnsi="仿宋_GB2312" w:eastAsia="仿宋_GB2312" w:cs="仿宋_GB2312"/>
          <w:color w:val="000000" w:themeColor="text1"/>
          <w:u w:val="single"/>
          <w14:textFill>
            <w14:solidFill>
              <w14:schemeClr w14:val="tx1"/>
            </w14:solidFill>
          </w14:textFill>
        </w:rPr>
        <w:t>（采购人或采购代理机构）</w:t>
      </w:r>
    </w:p>
    <w:p w14:paraId="5702CA1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）投标人为法人（包括企业、事业单位和社会团体）的</w:t>
      </w:r>
    </w:p>
    <w:p w14:paraId="7F0B7F7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现附上由</w:t>
      </w:r>
      <w:r>
        <w:rPr>
          <w:rFonts w:ascii="仿宋_GB2312" w:hAnsi="仿宋_GB2312" w:eastAsia="仿宋_GB2312" w:cs="仿宋_GB2312"/>
          <w:color w:val="000000" w:themeColor="text1"/>
          <w:u w:val="single"/>
          <w14:textFill>
            <w14:solidFill>
              <w14:schemeClr w14:val="tx1"/>
            </w14:solidFill>
          </w14:textFill>
        </w:rPr>
        <w:t>（（填写“签发机关全称”）</w:t>
      </w:r>
      <w:r>
        <w:rPr>
          <w:rFonts w:ascii="仿宋_GB2312" w:hAnsi="仿宋_GB2312" w:eastAsia="仿宋_GB2312" w:cs="仿宋_GB2312"/>
          <w:color w:val="000000" w:themeColor="text1"/>
          <w14:textFill>
            <w14:solidFill>
              <w14:schemeClr w14:val="tx1"/>
            </w14:solidFill>
          </w14:textFill>
        </w:rPr>
        <w:t>签发的我方统一社会信用代码（请填写法人的具体证照名称）复印件，该证明材料真实有效，否则我方负全部责任。</w:t>
      </w:r>
    </w:p>
    <w:p w14:paraId="069EBF1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）投标人为非法人（包括其他组织、自然人）的</w:t>
      </w:r>
    </w:p>
    <w:p w14:paraId="774B270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□现附上由</w:t>
      </w:r>
      <w:r>
        <w:rPr>
          <w:rFonts w:ascii="仿宋_GB2312" w:hAnsi="仿宋_GB2312" w:eastAsia="仿宋_GB2312" w:cs="仿宋_GB2312"/>
          <w:color w:val="000000" w:themeColor="text1"/>
          <w:u w:val="single"/>
          <w14:textFill>
            <w14:solidFill>
              <w14:schemeClr w14:val="tx1"/>
            </w14:solidFill>
          </w14:textFill>
        </w:rPr>
        <w:t>（（填写“签发机关全称”）</w:t>
      </w:r>
      <w:r>
        <w:rPr>
          <w:rFonts w:ascii="仿宋_GB2312" w:hAnsi="仿宋_GB2312" w:eastAsia="仿宋_GB2312" w:cs="仿宋_GB2312"/>
          <w:color w:val="000000" w:themeColor="text1"/>
          <w14:textFill>
            <w14:solidFill>
              <w14:schemeClr w14:val="tx1"/>
            </w14:solidFill>
          </w14:textFill>
        </w:rPr>
        <w:t>签发的我方（请填写非自然人的非法人的具体证照名称）复印件，该证明材料真实有效，否则我方负全部责任。</w:t>
      </w:r>
    </w:p>
    <w:p w14:paraId="252750B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□现附上由</w:t>
      </w:r>
      <w:r>
        <w:rPr>
          <w:rFonts w:ascii="仿宋_GB2312" w:hAnsi="仿宋_GB2312" w:eastAsia="仿宋_GB2312" w:cs="仿宋_GB2312"/>
          <w:color w:val="000000" w:themeColor="text1"/>
          <w:u w:val="single"/>
          <w14:textFill>
            <w14:solidFill>
              <w14:schemeClr w14:val="tx1"/>
            </w14:solidFill>
          </w14:textFill>
        </w:rPr>
        <w:t>（（填写“签发机关全称”）</w:t>
      </w:r>
      <w:r>
        <w:rPr>
          <w:rFonts w:ascii="仿宋_GB2312" w:hAnsi="仿宋_GB2312" w:eastAsia="仿宋_GB2312" w:cs="仿宋_GB2312"/>
          <w:color w:val="000000" w:themeColor="text1"/>
          <w14:textFill>
            <w14:solidFill>
              <w14:schemeClr w14:val="tx1"/>
            </w14:solidFill>
          </w14:textFill>
        </w:rPr>
        <w:t>签发的我方（请填写自然人的身份证件名称）复印件，该证明材料真实有效，否则我方负全部责任。</w:t>
      </w:r>
    </w:p>
    <w:p w14:paraId="533DFBB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3A00AE7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1、请投标人按照实际情况编制填写，在相应的（）中打“√”并选择相应的“□”（若有）后，再按照本格式的要求提供相应证明材料的复印件。</w:t>
      </w:r>
    </w:p>
    <w:p w14:paraId="70985D5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5968AFD8">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06D11115">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6162A601">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1CFF0CF0">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财务状况报告（财务报告、或资信证明）</w:t>
      </w:r>
    </w:p>
    <w:p w14:paraId="1754FEC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致：</w:t>
      </w:r>
      <w:r>
        <w:rPr>
          <w:rFonts w:ascii="仿宋_GB2312" w:hAnsi="仿宋_GB2312" w:eastAsia="仿宋_GB2312" w:cs="仿宋_GB2312"/>
          <w:color w:val="000000" w:themeColor="text1"/>
          <w:u w:val="single"/>
          <w14:textFill>
            <w14:solidFill>
              <w14:schemeClr w14:val="tx1"/>
            </w14:solidFill>
          </w14:textFill>
        </w:rPr>
        <w:t>（采购人或采购代理机构）</w:t>
      </w:r>
    </w:p>
    <w:p w14:paraId="3DB312A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）投标人提供财务报告的</w:t>
      </w:r>
    </w:p>
    <w:p w14:paraId="41ADCD5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□企业适用：现附上我方</w:t>
      </w:r>
      <w:r>
        <w:rPr>
          <w:rFonts w:ascii="仿宋_GB2312" w:hAnsi="仿宋_GB2312" w:eastAsia="仿宋_GB2312" w:cs="仿宋_GB2312"/>
          <w:color w:val="000000" w:themeColor="text1"/>
          <w:u w:val="single"/>
          <w14:textFill>
            <w14:solidFill>
              <w14:schemeClr w14:val="tx1"/>
            </w14:solidFill>
          </w14:textFill>
        </w:rPr>
        <w:t>（填写“具体的年度、或半年度、季度”）</w:t>
      </w:r>
      <w:r>
        <w:rPr>
          <w:rFonts w:ascii="仿宋_GB2312" w:hAnsi="仿宋_GB2312" w:eastAsia="仿宋_GB2312" w:cs="仿宋_GB2312"/>
          <w:color w:val="000000" w:themeColor="text1"/>
          <w14:textFill>
            <w14:solidFill>
              <w14:schemeClr w14:val="tx1"/>
            </w14:solidFill>
          </w14:textFill>
        </w:rPr>
        <w:t>财务报告复印件，包括资产负债表、利润表、现金流量表、所有者权益变动表（若有）及其附注（若有）、会计师事务所营业执照和注册会计师资格证书，上述证明材料真实有效，否则我方负全部责任。</w:t>
      </w:r>
    </w:p>
    <w:p w14:paraId="740DE96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□事业单位适用：现附上我方</w:t>
      </w:r>
      <w:r>
        <w:rPr>
          <w:rFonts w:ascii="仿宋_GB2312" w:hAnsi="仿宋_GB2312" w:eastAsia="仿宋_GB2312" w:cs="仿宋_GB2312"/>
          <w:color w:val="000000" w:themeColor="text1"/>
          <w:u w:val="single"/>
          <w14:textFill>
            <w14:solidFill>
              <w14:schemeClr w14:val="tx1"/>
            </w14:solidFill>
          </w14:textFill>
        </w:rPr>
        <w:t>（填写“具体的年度、或半年度、或季度”）</w:t>
      </w:r>
      <w:r>
        <w:rPr>
          <w:rFonts w:ascii="仿宋_GB2312" w:hAnsi="仿宋_GB2312" w:eastAsia="仿宋_GB2312" w:cs="仿宋_GB2312"/>
          <w:color w:val="000000" w:themeColor="text1"/>
          <w14:textFill>
            <w14:solidFill>
              <w14:schemeClr w14:val="tx1"/>
            </w14:solidFill>
          </w14:textFill>
        </w:rPr>
        <w:t>财务报告复印件，包括资产负债表、收入支出表（或收入费用表）、财政补助收入支出表（若有）、会计师事务所营业执照和注册会计师资格证书，上述证明材料真实有效，否则我方负全部责任。</w:t>
      </w:r>
    </w:p>
    <w:p w14:paraId="3031175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□社会团体、民办非企适用：现附上我方</w:t>
      </w:r>
      <w:r>
        <w:rPr>
          <w:rFonts w:ascii="仿宋_GB2312" w:hAnsi="仿宋_GB2312" w:eastAsia="仿宋_GB2312" w:cs="仿宋_GB2312"/>
          <w:color w:val="000000" w:themeColor="text1"/>
          <w:u w:val="single"/>
          <w14:textFill>
            <w14:solidFill>
              <w14:schemeClr w14:val="tx1"/>
            </w14:solidFill>
          </w14:textFill>
        </w:rPr>
        <w:t>（填写“具体的年度、或半年度、或季度”）</w:t>
      </w:r>
      <w:r>
        <w:rPr>
          <w:rFonts w:ascii="仿宋_GB2312" w:hAnsi="仿宋_GB2312" w:eastAsia="仿宋_GB2312" w:cs="仿宋_GB2312"/>
          <w:color w:val="000000" w:themeColor="text1"/>
          <w14:textFill>
            <w14:solidFill>
              <w14:schemeClr w14:val="tx1"/>
            </w14:solidFill>
          </w14:textFill>
        </w:rPr>
        <w:t>财务报告复印件，包括资产负债表、业务活动表、现金流量表、会计师事务所营业执照和注册会计师资格证书，上述证明材料真实有效，否则我方负全部责任。</w:t>
      </w:r>
    </w:p>
    <w:p w14:paraId="59604F6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）投标人提供资信证明的</w:t>
      </w:r>
    </w:p>
    <w:p w14:paraId="2890750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□非自然人适用（包括企业、事业单位、社会团体和其他组织）：现附上我方银行：</w:t>
      </w:r>
      <w:r>
        <w:rPr>
          <w:rFonts w:ascii="仿宋_GB2312" w:hAnsi="仿宋_GB2312" w:eastAsia="仿宋_GB2312" w:cs="仿宋_GB2312"/>
          <w:color w:val="000000" w:themeColor="text1"/>
          <w:u w:val="single"/>
          <w14:textFill>
            <w14:solidFill>
              <w14:schemeClr w14:val="tx1"/>
            </w14:solidFill>
          </w14:textFill>
        </w:rPr>
        <w:t>（填写“开户银行全称”）</w:t>
      </w:r>
      <w:r>
        <w:rPr>
          <w:rFonts w:ascii="仿宋_GB2312" w:hAnsi="仿宋_GB2312" w:eastAsia="仿宋_GB2312" w:cs="仿宋_GB2312"/>
          <w:color w:val="000000" w:themeColor="text1"/>
          <w14:textFill>
            <w14:solidFill>
              <w14:schemeClr w14:val="tx1"/>
            </w14:solidFill>
          </w14:textFill>
        </w:rPr>
        <w:t>出具的资信证明复印件，上述证明材料真实有效，否则我方负全部责任。</w:t>
      </w:r>
    </w:p>
    <w:p w14:paraId="3558B57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□自然人适用：现附上我方银行</w:t>
      </w:r>
      <w:r>
        <w:rPr>
          <w:rFonts w:ascii="仿宋_GB2312" w:hAnsi="仿宋_GB2312" w:eastAsia="仿宋_GB2312" w:cs="仿宋_GB2312"/>
          <w:color w:val="000000" w:themeColor="text1"/>
          <w:u w:val="single"/>
          <w14:textFill>
            <w14:solidFill>
              <w14:schemeClr w14:val="tx1"/>
            </w14:solidFill>
          </w14:textFill>
        </w:rPr>
        <w:t>：（填写自然人的“个人账户的开户银行全称”）</w:t>
      </w:r>
      <w:r>
        <w:rPr>
          <w:rFonts w:ascii="仿宋_GB2312" w:hAnsi="仿宋_GB2312" w:eastAsia="仿宋_GB2312" w:cs="仿宋_GB2312"/>
          <w:color w:val="000000" w:themeColor="text1"/>
          <w14:textFill>
            <w14:solidFill>
              <w14:schemeClr w14:val="tx1"/>
            </w14:solidFill>
          </w14:textFill>
        </w:rPr>
        <w:t>出具的资信证明复印件，上述证明材料真实有效，否则我方负全部责任。</w:t>
      </w:r>
    </w:p>
    <w:p w14:paraId="57FC2465">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04307DC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1、请投标人按照实际情况编制填写，在相应的（）中打“√”并选择相应的“□”（若有）后，再按照本格式的要求提供相应证明材料的复印件。</w:t>
      </w:r>
    </w:p>
    <w:p w14:paraId="1B490E7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2、投标人提供的财务报告复印件（成立年限按照投标截止时间推算）应符合下列规定：</w:t>
      </w:r>
    </w:p>
    <w:p w14:paraId="01DE448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2.1成立年限满1年及以上的投标人，提供经审计的招标文件规定的年度财务报告。</w:t>
      </w:r>
    </w:p>
    <w:p w14:paraId="43BC2B4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2.2成立年限满半年但不足1年的投标人，提供该半年度中任一季度的季度财务报告或该半年度的半年度财务报告。</w:t>
      </w:r>
    </w:p>
    <w:p w14:paraId="60A589CB">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090238AD">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747618B0">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2E1FD95C">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6A352676">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依法缴纳税收证明材料</w:t>
      </w:r>
    </w:p>
    <w:p w14:paraId="5F799907">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致：</w:t>
      </w:r>
      <w:r>
        <w:rPr>
          <w:rFonts w:ascii="仿宋_GB2312" w:hAnsi="仿宋_GB2312" w:eastAsia="仿宋_GB2312" w:cs="仿宋_GB2312"/>
          <w:color w:val="000000" w:themeColor="text1"/>
          <w:u w:val="single"/>
          <w14:textFill>
            <w14:solidFill>
              <w14:schemeClr w14:val="tx1"/>
            </w14:solidFill>
          </w14:textFill>
        </w:rPr>
        <w:t>（采购人或采购代理机构）</w:t>
      </w:r>
    </w:p>
    <w:p w14:paraId="747763F5">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1、依法缴纳税收的投标人</w:t>
      </w:r>
    </w:p>
    <w:p w14:paraId="00CC4E2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）法人（包括企业、事业单位和社会团体）的</w:t>
      </w:r>
    </w:p>
    <w:p w14:paraId="720BBC2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现附上自</w:t>
      </w:r>
      <w:r>
        <w:rPr>
          <w:rFonts w:ascii="仿宋_GB2312" w:hAnsi="仿宋_GB2312" w:eastAsia="仿宋_GB2312" w:cs="仿宋_GB2312"/>
          <w:color w:val="000000" w:themeColor="text1"/>
          <w:u w:val="single"/>
          <w14:textFill>
            <w14:solidFill>
              <w14:schemeClr w14:val="tx1"/>
            </w14:solidFill>
          </w14:textFill>
        </w:rPr>
        <w:t>　　年　　月　　日</w:t>
      </w:r>
      <w:r>
        <w:rPr>
          <w:rFonts w:ascii="仿宋_GB2312" w:hAnsi="仿宋_GB2312" w:eastAsia="仿宋_GB2312" w:cs="仿宋_GB2312"/>
          <w:color w:val="000000" w:themeColor="text1"/>
          <w14:textFill>
            <w14:solidFill>
              <w14:schemeClr w14:val="tx1"/>
            </w14:solidFill>
          </w14:textFill>
        </w:rPr>
        <w:t>至</w:t>
      </w:r>
      <w:r>
        <w:rPr>
          <w:rFonts w:ascii="仿宋_GB2312" w:hAnsi="仿宋_GB2312" w:eastAsia="仿宋_GB2312" w:cs="仿宋_GB2312"/>
          <w:color w:val="000000" w:themeColor="text1"/>
          <w:u w:val="single"/>
          <w14:textFill>
            <w14:solidFill>
              <w14:schemeClr w14:val="tx1"/>
            </w14:solidFill>
          </w14:textFill>
        </w:rPr>
        <w:t>　　年　　月　　日</w:t>
      </w:r>
      <w:r>
        <w:rPr>
          <w:rFonts w:ascii="仿宋_GB2312" w:hAnsi="仿宋_GB2312" w:eastAsia="仿宋_GB2312" w:cs="仿宋_GB2312"/>
          <w:color w:val="000000" w:themeColor="text1"/>
          <w14:textFill>
            <w14:solidFill>
              <w14:schemeClr w14:val="tx1"/>
            </w14:solidFill>
          </w14:textFill>
        </w:rPr>
        <w:t>期间我方缴纳（包括但不限于税务机关出具的专用收据、税收缴纳证明或税收代缴银行的缴款收讫凭证）等税收凭据复印件，上述证明材料真实有效，否则我方负全部责任。</w:t>
      </w:r>
    </w:p>
    <w:p w14:paraId="2045561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）非法人（包括其他组织、自然人）的</w:t>
      </w:r>
    </w:p>
    <w:p w14:paraId="0387D16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现附上自</w:t>
      </w:r>
      <w:r>
        <w:rPr>
          <w:rFonts w:ascii="仿宋_GB2312" w:hAnsi="仿宋_GB2312" w:eastAsia="仿宋_GB2312" w:cs="仿宋_GB2312"/>
          <w:color w:val="000000" w:themeColor="text1"/>
          <w:u w:val="single"/>
          <w14:textFill>
            <w14:solidFill>
              <w14:schemeClr w14:val="tx1"/>
            </w14:solidFill>
          </w14:textFill>
        </w:rPr>
        <w:t>　　年　　月　　日</w:t>
      </w:r>
      <w:r>
        <w:rPr>
          <w:rFonts w:ascii="仿宋_GB2312" w:hAnsi="仿宋_GB2312" w:eastAsia="仿宋_GB2312" w:cs="仿宋_GB2312"/>
          <w:color w:val="000000" w:themeColor="text1"/>
          <w14:textFill>
            <w14:solidFill>
              <w14:schemeClr w14:val="tx1"/>
            </w14:solidFill>
          </w14:textFill>
        </w:rPr>
        <w:t>至</w:t>
      </w:r>
      <w:r>
        <w:rPr>
          <w:rFonts w:ascii="仿宋_GB2312" w:hAnsi="仿宋_GB2312" w:eastAsia="仿宋_GB2312" w:cs="仿宋_GB2312"/>
          <w:color w:val="000000" w:themeColor="text1"/>
          <w:u w:val="single"/>
          <w14:textFill>
            <w14:solidFill>
              <w14:schemeClr w14:val="tx1"/>
            </w14:solidFill>
          </w14:textFill>
        </w:rPr>
        <w:t>　　年　　月　　日</w:t>
      </w:r>
      <w:r>
        <w:rPr>
          <w:rFonts w:ascii="仿宋_GB2312" w:hAnsi="仿宋_GB2312" w:eastAsia="仿宋_GB2312" w:cs="仿宋_GB2312"/>
          <w:color w:val="000000" w:themeColor="text1"/>
          <w14:textFill>
            <w14:solidFill>
              <w14:schemeClr w14:val="tx1"/>
            </w14:solidFill>
          </w14:textFill>
        </w:rPr>
        <w:t>期间我方缴纳（包括但不限于税务机关出具的专用收据、税收缴纳证明或税收代缴银行的缴款收讫凭证）等税收凭据复印件，上述证明材料真实有效，否则我方负全部责任。</w:t>
      </w:r>
    </w:p>
    <w:p w14:paraId="32008AB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2、依法免税的投标人</w:t>
      </w:r>
    </w:p>
    <w:p w14:paraId="1DA37285">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）现附上我方依法免税的证明材料复印件，上述证明材料真实有效，否则我方负全部责任。</w:t>
      </w:r>
    </w:p>
    <w:p w14:paraId="6B3E6E0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0D598113">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1、请投标人按照实际情况编制填写，在相应的（）中打“√”，并按照本格式的要求提供相应证明材料的复印件。</w:t>
      </w:r>
    </w:p>
    <w:p w14:paraId="1003643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2、投标人提供的税收缴纳凭据复印件应符合下列规定：</w:t>
      </w:r>
    </w:p>
    <w:p w14:paraId="1CADC41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2.1投标截止时间前（不含投标截止时间的当月）已依法缴纳税收的投标人，提供投标截止时间前六个月（不含投标截止时间的当月）中任一月份的税收缴纳凭据复印件。</w:t>
      </w:r>
    </w:p>
    <w:p w14:paraId="265F168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2.2投标截止时间的当月成立的投标人，视同满足本项资格条件要求。</w:t>
      </w:r>
    </w:p>
    <w:p w14:paraId="422C3C8B">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3、若为依法免税范围的投标人，提供依法免税证明材料的，视同满足本项资格条件要求。</w:t>
      </w:r>
    </w:p>
    <w:p w14:paraId="6CE9CEFF">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1C31B3BD">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3D0972F5">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15E41C05">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依法缴纳社会保障资金证明材料</w:t>
      </w:r>
    </w:p>
    <w:p w14:paraId="7943A1D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致：</w:t>
      </w:r>
      <w:r>
        <w:rPr>
          <w:rFonts w:ascii="仿宋_GB2312" w:hAnsi="仿宋_GB2312" w:eastAsia="仿宋_GB2312" w:cs="仿宋_GB2312"/>
          <w:color w:val="000000" w:themeColor="text1"/>
          <w:u w:val="single"/>
          <w14:textFill>
            <w14:solidFill>
              <w14:schemeClr w14:val="tx1"/>
            </w14:solidFill>
          </w14:textFill>
        </w:rPr>
        <w:t>（采购人或采购代理机构）</w:t>
      </w:r>
    </w:p>
    <w:p w14:paraId="1A7E51E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1、依法缴纳社会保障资金的投标人</w:t>
      </w:r>
    </w:p>
    <w:p w14:paraId="4C3797A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）法人（包括企业、事业单位和社会团体）的</w:t>
      </w:r>
    </w:p>
    <w:p w14:paraId="3E0ED74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现附上自</w:t>
      </w:r>
      <w:r>
        <w:rPr>
          <w:rFonts w:ascii="仿宋_GB2312" w:hAnsi="仿宋_GB2312" w:eastAsia="仿宋_GB2312" w:cs="仿宋_GB2312"/>
          <w:color w:val="000000" w:themeColor="text1"/>
          <w:u w:val="single"/>
          <w14:textFill>
            <w14:solidFill>
              <w14:schemeClr w14:val="tx1"/>
            </w14:solidFill>
          </w14:textFill>
        </w:rPr>
        <w:t>　　年　　月　　日</w:t>
      </w:r>
      <w:r>
        <w:rPr>
          <w:rFonts w:ascii="仿宋_GB2312" w:hAnsi="仿宋_GB2312" w:eastAsia="仿宋_GB2312" w:cs="仿宋_GB2312"/>
          <w:color w:val="000000" w:themeColor="text1"/>
          <w14:textFill>
            <w14:solidFill>
              <w14:schemeClr w14:val="tx1"/>
            </w14:solidFill>
          </w14:textFill>
        </w:rPr>
        <w:t>至</w:t>
      </w:r>
      <w:r>
        <w:rPr>
          <w:rFonts w:ascii="仿宋_GB2312" w:hAnsi="仿宋_GB2312" w:eastAsia="仿宋_GB2312" w:cs="仿宋_GB2312"/>
          <w:color w:val="000000" w:themeColor="text1"/>
          <w:u w:val="single"/>
          <w14:textFill>
            <w14:solidFill>
              <w14:schemeClr w14:val="tx1"/>
            </w14:solidFill>
          </w14:textFill>
        </w:rPr>
        <w:t>　　年　　月　　日</w:t>
      </w:r>
      <w:r>
        <w:rPr>
          <w:rFonts w:ascii="仿宋_GB2312" w:hAnsi="仿宋_GB2312" w:eastAsia="仿宋_GB2312" w:cs="仿宋_GB2312"/>
          <w:color w:val="000000" w:themeColor="text1"/>
          <w14:textFill>
            <w14:solidFill>
              <w14:schemeClr w14:val="tx1"/>
            </w14:solidFill>
          </w14:textFill>
        </w:rPr>
        <w:t>我方缴纳的社会保险凭据（限：税务机关/社会保障资金管理机关的专用收据或社会保险缴纳清单，或社会保险的银行缴款收讫凭证）复印件，上述证明材料真实有效，否则我方负全部责任。</w:t>
      </w:r>
    </w:p>
    <w:p w14:paraId="228CADD7">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）非法人（包括其他组织、自然人）的</w:t>
      </w:r>
    </w:p>
    <w:p w14:paraId="6D799A2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自</w:t>
      </w:r>
      <w:r>
        <w:rPr>
          <w:rFonts w:ascii="仿宋_GB2312" w:hAnsi="仿宋_GB2312" w:eastAsia="仿宋_GB2312" w:cs="仿宋_GB2312"/>
          <w:color w:val="000000" w:themeColor="text1"/>
          <w:u w:val="single"/>
          <w14:textFill>
            <w14:solidFill>
              <w14:schemeClr w14:val="tx1"/>
            </w14:solidFill>
          </w14:textFill>
        </w:rPr>
        <w:t>　　年　　月　　日</w:t>
      </w:r>
      <w:r>
        <w:rPr>
          <w:rFonts w:ascii="仿宋_GB2312" w:hAnsi="仿宋_GB2312" w:eastAsia="仿宋_GB2312" w:cs="仿宋_GB2312"/>
          <w:color w:val="000000" w:themeColor="text1"/>
          <w14:textFill>
            <w14:solidFill>
              <w14:schemeClr w14:val="tx1"/>
            </w14:solidFill>
          </w14:textFill>
        </w:rPr>
        <w:t>至</w:t>
      </w:r>
      <w:r>
        <w:rPr>
          <w:rFonts w:ascii="仿宋_GB2312" w:hAnsi="仿宋_GB2312" w:eastAsia="仿宋_GB2312" w:cs="仿宋_GB2312"/>
          <w:color w:val="000000" w:themeColor="text1"/>
          <w:u w:val="single"/>
          <w14:textFill>
            <w14:solidFill>
              <w14:schemeClr w14:val="tx1"/>
            </w14:solidFill>
          </w14:textFill>
        </w:rPr>
        <w:t>　　年　　月　　日</w:t>
      </w:r>
      <w:r>
        <w:rPr>
          <w:rFonts w:ascii="仿宋_GB2312" w:hAnsi="仿宋_GB2312" w:eastAsia="仿宋_GB2312" w:cs="仿宋_GB2312"/>
          <w:color w:val="000000" w:themeColor="text1"/>
          <w14:textFill>
            <w14:solidFill>
              <w14:schemeClr w14:val="tx1"/>
            </w14:solidFill>
          </w14:textFill>
        </w:rPr>
        <w:t>我方缴纳的社会保险凭据（限：税务机关/社会保障资金管理机关的专用收据或社会保险缴纳清单，或社会保险的银行缴款收讫凭证）复印件，上述证明材料真实有效，否则我方负全部责任。</w:t>
      </w:r>
    </w:p>
    <w:p w14:paraId="5E9B9C1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2、依法不需要缴纳或暂缓缴纳社会保障资金的投标人</w:t>
      </w:r>
    </w:p>
    <w:p w14:paraId="22194BE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）现附上我方依法不需要缴纳或暂缓缴纳社会保障资金证明材料复印件，上述证明材料真实有效，否则我方负全部责任。</w:t>
      </w:r>
    </w:p>
    <w:p w14:paraId="74F95A3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6158BD5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1、请投标人按照实际情况编制填写，在相应的（）中打“√”，并按照本格式的要求提供相应证明材料的复印件。</w:t>
      </w:r>
    </w:p>
    <w:p w14:paraId="4873D37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2、投标人提供的社会保障资金缴纳凭据复印件应符合下列规定：</w:t>
      </w:r>
    </w:p>
    <w:p w14:paraId="1EF01BD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2.1投标截止时间前（不含投标截止时间的当月）已依法缴纳社会保障资金的投标人，提供投标截止时间前六个月（不含投标截止时间的当月）中任一月份的社会保障资金缴纳凭据复印件。</w:t>
      </w:r>
    </w:p>
    <w:p w14:paraId="59926977">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2.2投标截止时间的当月成立的投标人，视同满足本项资格条件要求。</w:t>
      </w:r>
    </w:p>
    <w:p w14:paraId="0634340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3、若为依法不需要缴纳或暂缓缴纳社会保障资金的投标人，提供依法不需要缴纳或暂缓缴纳社会保障资金证明材料的，视同满足本项资格条件要求。</w:t>
      </w:r>
    </w:p>
    <w:p w14:paraId="0EE0F1FA">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2E5713C6">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5AD2601D">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2A5A7C27">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具备履行合同所必需设备和专业技术能力的声明函（若有）</w:t>
      </w:r>
    </w:p>
    <w:p w14:paraId="0070BB5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致：</w:t>
      </w:r>
      <w:r>
        <w:rPr>
          <w:rFonts w:ascii="仿宋_GB2312" w:hAnsi="仿宋_GB2312" w:eastAsia="仿宋_GB2312" w:cs="仿宋_GB2312"/>
          <w:color w:val="000000" w:themeColor="text1"/>
          <w:u w:val="single"/>
          <w14:textFill>
            <w14:solidFill>
              <w14:schemeClr w14:val="tx1"/>
            </w14:solidFill>
          </w14:textFill>
        </w:rPr>
        <w:t>（采购人或采购代理机构）</w:t>
      </w:r>
    </w:p>
    <w:p w14:paraId="1AC85B6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我方具备履行合同所必需的设备和专业技术能力，否则产生不利后果由我方承担责任。</w:t>
      </w:r>
    </w:p>
    <w:p w14:paraId="597ED1AA">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特此声明。</w:t>
      </w:r>
    </w:p>
    <w:p w14:paraId="51FB023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1526E70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1、招标文件未要求投标人提供“具备履行合同所必需的设备和专业技术能力专项证明材料”的，投标人应提供本声明函。</w:t>
      </w:r>
    </w:p>
    <w:p w14:paraId="6D89917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2、招标文件要求投标人提供“具备履行合同所必需的设备和专业技术能力专项证明材料”的，投标人可不提供本声明函。</w:t>
      </w:r>
    </w:p>
    <w:p w14:paraId="5165ADB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3、请投标人根据实际情况如实声明，否则视为提供虚假材料。</w:t>
      </w:r>
    </w:p>
    <w:p w14:paraId="22F38D0C">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0E821E8B">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5416CA1F">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13BEE35B">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参加采购活动前三年内在经营活动中没有重大违法记录书面声明</w:t>
      </w:r>
    </w:p>
    <w:p w14:paraId="3392201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致：</w:t>
      </w:r>
      <w:r>
        <w:rPr>
          <w:rFonts w:ascii="仿宋_GB2312" w:hAnsi="仿宋_GB2312" w:eastAsia="仿宋_GB2312" w:cs="仿宋_GB2312"/>
          <w:color w:val="000000" w:themeColor="text1"/>
          <w:u w:val="single"/>
          <w14:textFill>
            <w14:solidFill>
              <w14:schemeClr w14:val="tx1"/>
            </w14:solidFill>
          </w14:textFill>
        </w:rPr>
        <w:t>（采购人或采购代理机构）</w:t>
      </w:r>
    </w:p>
    <w:p w14:paraId="4CB7475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参加采购活动前三年内，我方在经营活动中没有重大违法记录，即没有因违法经营受到刑事处罚或责令停产停业、吊销许可证或执照、较大数额罚款等行政处罚。否则产生不利后果由我方承担责任。</w:t>
      </w:r>
    </w:p>
    <w:p w14:paraId="46290861">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特此声明。</w:t>
      </w:r>
    </w:p>
    <w:p w14:paraId="5AB7AAC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532E2AA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7AA1BB0B">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请投标人根据实际情况如实声明，否则视为提供虚假材料。</w:t>
      </w:r>
    </w:p>
    <w:p w14:paraId="7F728CBC">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64A8443B">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5FAEC87E">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6B3FB6A6">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二-3信用记录查询提示</w:t>
      </w:r>
    </w:p>
    <w:p w14:paraId="7E46AFE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1、由资格审查小组通过网站查询并打印投标人的信用记录。</w:t>
      </w:r>
    </w:p>
    <w:p w14:paraId="501162C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1FC6F4D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26DAFB77">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16775011">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二-4中小企业声明函</w:t>
      </w:r>
    </w:p>
    <w:p w14:paraId="7E5EF947">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（以资格条件落实中小企业扶持政策时适用，若有）</w:t>
      </w:r>
    </w:p>
    <w:p w14:paraId="4EC7C699">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中小企业声明函（货物）</w:t>
      </w:r>
    </w:p>
    <w:p w14:paraId="3BF78DF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本公司（联合体）郑重声明，根据《政府采购促进中小企业发展管理办法》（财库﹝2020﹞46 号）的规定，本公司（联合体）参加</w:t>
      </w:r>
      <w:r>
        <w:rPr>
          <w:rFonts w:ascii="仿宋_GB2312" w:hAnsi="仿宋_GB2312" w:eastAsia="仿宋_GB2312" w:cs="仿宋_GB2312"/>
          <w:color w:val="000000" w:themeColor="text1"/>
          <w:u w:val="single"/>
          <w14:textFill>
            <w14:solidFill>
              <w14:schemeClr w14:val="tx1"/>
            </w14:solidFill>
          </w14:textFill>
        </w:rPr>
        <w:t>（单位名称）</w:t>
      </w:r>
      <w:r>
        <w:rPr>
          <w:rFonts w:ascii="仿宋_GB2312" w:hAnsi="仿宋_GB2312" w:eastAsia="仿宋_GB2312" w:cs="仿宋_GB2312"/>
          <w:color w:val="000000" w:themeColor="text1"/>
          <w14:textFill>
            <w14:solidFill>
              <w14:schemeClr w14:val="tx1"/>
            </w14:solidFill>
          </w14:textFill>
        </w:rPr>
        <w:t>的</w:t>
      </w:r>
      <w:r>
        <w:rPr>
          <w:rFonts w:ascii="仿宋_GB2312" w:hAnsi="仿宋_GB2312" w:eastAsia="仿宋_GB2312" w:cs="仿宋_GB2312"/>
          <w:color w:val="000000" w:themeColor="text1"/>
          <w:u w:val="single"/>
          <w14:textFill>
            <w14:solidFill>
              <w14:schemeClr w14:val="tx1"/>
            </w14:solidFill>
          </w14:textFill>
        </w:rPr>
        <w:t>（项目名称）</w:t>
      </w:r>
      <w:r>
        <w:rPr>
          <w:rFonts w:ascii="仿宋_GB2312" w:hAnsi="仿宋_GB2312" w:eastAsia="仿宋_GB2312" w:cs="仿宋_GB2312"/>
          <w:color w:val="000000" w:themeColor="text1"/>
          <w14:textFill>
            <w14:solidFill>
              <w14:schemeClr w14:val="tx1"/>
            </w14:solidFill>
          </w14:textFill>
        </w:rPr>
        <w:t>采购活动，提供的货物全部由符合政策要求的中小企业制造。相关企业（含联合体中的中小企业、签订分包意向协议的中小企业）的具体情况如下：</w:t>
      </w:r>
    </w:p>
    <w:p w14:paraId="1B38992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w:t>
      </w:r>
      <w:r>
        <w:rPr>
          <w:rFonts w:ascii="仿宋_GB2312" w:hAnsi="仿宋_GB2312" w:eastAsia="仿宋_GB2312" w:cs="仿宋_GB2312"/>
          <w:color w:val="000000" w:themeColor="text1"/>
          <w:u w:val="single"/>
          <w14:textFill>
            <w14:solidFill>
              <w14:schemeClr w14:val="tx1"/>
            </w14:solidFill>
          </w14:textFill>
        </w:rPr>
        <w:t xml:space="preserve"> （标的名称） </w:t>
      </w:r>
      <w:r>
        <w:rPr>
          <w:rFonts w:ascii="仿宋_GB2312" w:hAnsi="仿宋_GB2312" w:eastAsia="仿宋_GB2312" w:cs="仿宋_GB2312"/>
          <w:color w:val="000000" w:themeColor="text1"/>
          <w14:textFill>
            <w14:solidFill>
              <w14:schemeClr w14:val="tx1"/>
            </w14:solidFill>
          </w14:textFill>
        </w:rPr>
        <w:t>，属于</w:t>
      </w:r>
      <w:r>
        <w:rPr>
          <w:rFonts w:ascii="仿宋_GB2312" w:hAnsi="仿宋_GB2312" w:eastAsia="仿宋_GB2312" w:cs="仿宋_GB2312"/>
          <w:color w:val="000000" w:themeColor="text1"/>
          <w:u w:val="single"/>
          <w14:textFill>
            <w14:solidFill>
              <w14:schemeClr w14:val="tx1"/>
            </w14:solidFill>
          </w14:textFill>
        </w:rPr>
        <w:t>（采购文件中明确的所属行业）</w:t>
      </w:r>
      <w:r>
        <w:rPr>
          <w:rFonts w:ascii="仿宋_GB2312" w:hAnsi="仿宋_GB2312" w:eastAsia="仿宋_GB2312" w:cs="仿宋_GB2312"/>
          <w:color w:val="000000" w:themeColor="text1"/>
          <w14:textFill>
            <w14:solidFill>
              <w14:schemeClr w14:val="tx1"/>
            </w14:solidFill>
          </w14:textFill>
        </w:rPr>
        <w:t>行业；制造商为</w:t>
      </w:r>
      <w:r>
        <w:rPr>
          <w:rFonts w:ascii="仿宋_GB2312" w:hAnsi="仿宋_GB2312" w:eastAsia="仿宋_GB2312" w:cs="仿宋_GB2312"/>
          <w:color w:val="000000" w:themeColor="text1"/>
          <w:u w:val="single"/>
          <w14:textFill>
            <w14:solidFill>
              <w14:schemeClr w14:val="tx1"/>
            </w14:solidFill>
          </w14:textFill>
        </w:rPr>
        <w:t>（企业名称）</w:t>
      </w:r>
      <w:r>
        <w:rPr>
          <w:rFonts w:ascii="仿宋_GB2312" w:hAnsi="仿宋_GB2312" w:eastAsia="仿宋_GB2312" w:cs="仿宋_GB2312"/>
          <w:color w:val="000000" w:themeColor="text1"/>
          <w14:textFill>
            <w14:solidFill>
              <w14:schemeClr w14:val="tx1"/>
            </w14:solidFill>
          </w14:textFill>
        </w:rPr>
        <w:t>，从业人员</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人，营业收入为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万元，资产总额为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万元¹，属于</w:t>
      </w:r>
      <w:r>
        <w:rPr>
          <w:rFonts w:ascii="仿宋_GB2312" w:hAnsi="仿宋_GB2312" w:eastAsia="仿宋_GB2312" w:cs="仿宋_GB2312"/>
          <w:color w:val="000000" w:themeColor="text1"/>
          <w:u w:val="single"/>
          <w14:textFill>
            <w14:solidFill>
              <w14:schemeClr w14:val="tx1"/>
            </w14:solidFill>
          </w14:textFill>
        </w:rPr>
        <w:t>（中型企业、小型企业、微型企业）</w:t>
      </w:r>
      <w:r>
        <w:rPr>
          <w:rFonts w:ascii="仿宋_GB2312" w:hAnsi="仿宋_GB2312" w:eastAsia="仿宋_GB2312" w:cs="仿宋_GB2312"/>
          <w:color w:val="000000" w:themeColor="text1"/>
          <w14:textFill>
            <w14:solidFill>
              <w14:schemeClr w14:val="tx1"/>
            </w14:solidFill>
          </w14:textFill>
        </w:rPr>
        <w:t>；</w:t>
      </w:r>
    </w:p>
    <w:p w14:paraId="7DED09B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w:t>
      </w:r>
      <w:r>
        <w:rPr>
          <w:rFonts w:ascii="仿宋_GB2312" w:hAnsi="仿宋_GB2312" w:eastAsia="仿宋_GB2312" w:cs="仿宋_GB2312"/>
          <w:color w:val="000000" w:themeColor="text1"/>
          <w:u w:val="single"/>
          <w14:textFill>
            <w14:solidFill>
              <w14:schemeClr w14:val="tx1"/>
            </w14:solidFill>
          </w14:textFill>
        </w:rPr>
        <w:t xml:space="preserve"> （标的名称） </w:t>
      </w:r>
      <w:r>
        <w:rPr>
          <w:rFonts w:ascii="仿宋_GB2312" w:hAnsi="仿宋_GB2312" w:eastAsia="仿宋_GB2312" w:cs="仿宋_GB2312"/>
          <w:color w:val="000000" w:themeColor="text1"/>
          <w14:textFill>
            <w14:solidFill>
              <w14:schemeClr w14:val="tx1"/>
            </w14:solidFill>
          </w14:textFill>
        </w:rPr>
        <w:t>，属于</w:t>
      </w:r>
      <w:r>
        <w:rPr>
          <w:rFonts w:ascii="仿宋_GB2312" w:hAnsi="仿宋_GB2312" w:eastAsia="仿宋_GB2312" w:cs="仿宋_GB2312"/>
          <w:color w:val="000000" w:themeColor="text1"/>
          <w:u w:val="single"/>
          <w14:textFill>
            <w14:solidFill>
              <w14:schemeClr w14:val="tx1"/>
            </w14:solidFill>
          </w14:textFill>
        </w:rPr>
        <w:t>（采购文件中明确的所属行业）</w:t>
      </w:r>
      <w:r>
        <w:rPr>
          <w:rFonts w:ascii="仿宋_GB2312" w:hAnsi="仿宋_GB2312" w:eastAsia="仿宋_GB2312" w:cs="仿宋_GB2312"/>
          <w:color w:val="000000" w:themeColor="text1"/>
          <w14:textFill>
            <w14:solidFill>
              <w14:schemeClr w14:val="tx1"/>
            </w14:solidFill>
          </w14:textFill>
        </w:rPr>
        <w:t>行业；制造商为</w:t>
      </w:r>
      <w:r>
        <w:rPr>
          <w:rFonts w:ascii="仿宋_GB2312" w:hAnsi="仿宋_GB2312" w:eastAsia="仿宋_GB2312" w:cs="仿宋_GB2312"/>
          <w:color w:val="000000" w:themeColor="text1"/>
          <w:u w:val="single"/>
          <w14:textFill>
            <w14:solidFill>
              <w14:schemeClr w14:val="tx1"/>
            </w14:solidFill>
          </w14:textFill>
        </w:rPr>
        <w:t>（企业名称）</w:t>
      </w:r>
      <w:r>
        <w:rPr>
          <w:rFonts w:ascii="仿宋_GB2312" w:hAnsi="仿宋_GB2312" w:eastAsia="仿宋_GB2312" w:cs="仿宋_GB2312"/>
          <w:color w:val="000000" w:themeColor="text1"/>
          <w14:textFill>
            <w14:solidFill>
              <w14:schemeClr w14:val="tx1"/>
            </w14:solidFill>
          </w14:textFill>
        </w:rPr>
        <w:t>，从业人员</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人，营业收入为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万元，资产总额为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万元，属于</w:t>
      </w:r>
      <w:r>
        <w:rPr>
          <w:rFonts w:ascii="仿宋_GB2312" w:hAnsi="仿宋_GB2312" w:eastAsia="仿宋_GB2312" w:cs="仿宋_GB2312"/>
          <w:color w:val="000000" w:themeColor="text1"/>
          <w:u w:val="single"/>
          <w14:textFill>
            <w14:solidFill>
              <w14:schemeClr w14:val="tx1"/>
            </w14:solidFill>
          </w14:textFill>
        </w:rPr>
        <w:t>（中型企业、小型企业、微型企业）</w:t>
      </w:r>
      <w:r>
        <w:rPr>
          <w:rFonts w:ascii="仿宋_GB2312" w:hAnsi="仿宋_GB2312" w:eastAsia="仿宋_GB2312" w:cs="仿宋_GB2312"/>
          <w:color w:val="000000" w:themeColor="text1"/>
          <w14:textFill>
            <w14:solidFill>
              <w14:schemeClr w14:val="tx1"/>
            </w14:solidFill>
          </w14:textFill>
        </w:rPr>
        <w:t>；</w:t>
      </w:r>
    </w:p>
    <w:p w14:paraId="57E4D8C3">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p w14:paraId="6DD513E5">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以上企业，不属于大企业的分支机构，不存在控股股东为大企业的情形，也不存在与大企业的负责人为同一人的情形。</w:t>
      </w:r>
    </w:p>
    <w:p w14:paraId="4C50F697">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本企业对上述声明内容的真实性负责。如有虚假，将依法承担相应责任。</w:t>
      </w:r>
    </w:p>
    <w:p w14:paraId="7A3AB49F">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5A29D4F1">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0BAD2A4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61BC137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1、从业人员、营业收入、资产总额填报上一年度数据，无上一年度数据的新成立企业可不填报。</w:t>
      </w:r>
    </w:p>
    <w:p w14:paraId="1826A4A3">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1AD0A2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DDB263B">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27D880FC">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中小企业声明函（工程、服务）</w:t>
      </w:r>
    </w:p>
    <w:p w14:paraId="35C488A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本公司（联合体）郑重声明，根据《政府采购促进中小企业发展管理办法》（财库﹝2020﹞46 号）的规定，本公司（联合体）参加</w:t>
      </w:r>
      <w:r>
        <w:rPr>
          <w:rFonts w:ascii="仿宋_GB2312" w:hAnsi="仿宋_GB2312" w:eastAsia="仿宋_GB2312" w:cs="仿宋_GB2312"/>
          <w:color w:val="000000" w:themeColor="text1"/>
          <w:u w:val="single"/>
          <w14:textFill>
            <w14:solidFill>
              <w14:schemeClr w14:val="tx1"/>
            </w14:solidFill>
          </w14:textFill>
        </w:rPr>
        <w:t>（单位名称）</w:t>
      </w:r>
      <w:r>
        <w:rPr>
          <w:rFonts w:ascii="仿宋_GB2312" w:hAnsi="仿宋_GB2312" w:eastAsia="仿宋_GB2312" w:cs="仿宋_GB2312"/>
          <w:color w:val="000000" w:themeColor="text1"/>
          <w14:textFill>
            <w14:solidFill>
              <w14:schemeClr w14:val="tx1"/>
            </w14:solidFill>
          </w14:textFill>
        </w:rPr>
        <w:t>的</w:t>
      </w:r>
      <w:r>
        <w:rPr>
          <w:rFonts w:ascii="仿宋_GB2312" w:hAnsi="仿宋_GB2312" w:eastAsia="仿宋_GB2312" w:cs="仿宋_GB2312"/>
          <w:color w:val="000000" w:themeColor="text1"/>
          <w:u w:val="single"/>
          <w14:textFill>
            <w14:solidFill>
              <w14:schemeClr w14:val="tx1"/>
            </w14:solidFill>
          </w14:textFill>
        </w:rPr>
        <w:t>（项目名称）</w:t>
      </w:r>
      <w:r>
        <w:rPr>
          <w:rFonts w:ascii="仿宋_GB2312" w:hAnsi="仿宋_GB2312" w:eastAsia="仿宋_GB2312" w:cs="仿宋_GB2312"/>
          <w:color w:val="000000" w:themeColor="text1"/>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5861D65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w:t>
      </w:r>
      <w:r>
        <w:rPr>
          <w:rFonts w:ascii="仿宋_GB2312" w:hAnsi="仿宋_GB2312" w:eastAsia="仿宋_GB2312" w:cs="仿宋_GB2312"/>
          <w:color w:val="000000" w:themeColor="text1"/>
          <w:u w:val="single"/>
          <w14:textFill>
            <w14:solidFill>
              <w14:schemeClr w14:val="tx1"/>
            </w14:solidFill>
          </w14:textFill>
        </w:rPr>
        <w:t>（标的名称）</w:t>
      </w:r>
      <w:r>
        <w:rPr>
          <w:rFonts w:ascii="仿宋_GB2312" w:hAnsi="仿宋_GB2312" w:eastAsia="仿宋_GB2312" w:cs="仿宋_GB2312"/>
          <w:color w:val="000000" w:themeColor="text1"/>
          <w14:textFill>
            <w14:solidFill>
              <w14:schemeClr w14:val="tx1"/>
            </w14:solidFill>
          </w14:textFill>
        </w:rPr>
        <w:t>，属于</w:t>
      </w:r>
      <w:r>
        <w:rPr>
          <w:rFonts w:ascii="仿宋_GB2312" w:hAnsi="仿宋_GB2312" w:eastAsia="仿宋_GB2312" w:cs="仿宋_GB2312"/>
          <w:color w:val="000000" w:themeColor="text1"/>
          <w:u w:val="single"/>
          <w14:textFill>
            <w14:solidFill>
              <w14:schemeClr w14:val="tx1"/>
            </w14:solidFill>
          </w14:textFill>
        </w:rPr>
        <w:t>（采购文件中明确的所属行业）</w:t>
      </w:r>
      <w:r>
        <w:rPr>
          <w:rFonts w:ascii="仿宋_GB2312" w:hAnsi="仿宋_GB2312" w:eastAsia="仿宋_GB2312" w:cs="仿宋_GB2312"/>
          <w:color w:val="000000" w:themeColor="text1"/>
          <w14:textFill>
            <w14:solidFill>
              <w14:schemeClr w14:val="tx1"/>
            </w14:solidFill>
          </w14:textFill>
        </w:rPr>
        <w:t>；承建（承接）企业为</w:t>
      </w:r>
      <w:r>
        <w:rPr>
          <w:rFonts w:ascii="仿宋_GB2312" w:hAnsi="仿宋_GB2312" w:eastAsia="仿宋_GB2312" w:cs="仿宋_GB2312"/>
          <w:color w:val="000000" w:themeColor="text1"/>
          <w:u w:val="single"/>
          <w14:textFill>
            <w14:solidFill>
              <w14:schemeClr w14:val="tx1"/>
            </w14:solidFill>
          </w14:textFill>
        </w:rPr>
        <w:t>（企业名称）</w:t>
      </w:r>
      <w:r>
        <w:rPr>
          <w:rFonts w:ascii="仿宋_GB2312" w:hAnsi="仿宋_GB2312" w:eastAsia="仿宋_GB2312" w:cs="仿宋_GB2312"/>
          <w:color w:val="000000" w:themeColor="text1"/>
          <w14:textFill>
            <w14:solidFill>
              <w14:schemeClr w14:val="tx1"/>
            </w14:solidFill>
          </w14:textFill>
        </w:rPr>
        <w:t>，从业人员</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人，营业收入为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万元，资产总额为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万元¹，属于</w:t>
      </w:r>
      <w:r>
        <w:rPr>
          <w:rFonts w:ascii="仿宋_GB2312" w:hAnsi="仿宋_GB2312" w:eastAsia="仿宋_GB2312" w:cs="仿宋_GB2312"/>
          <w:color w:val="000000" w:themeColor="text1"/>
          <w:u w:val="single"/>
          <w14:textFill>
            <w14:solidFill>
              <w14:schemeClr w14:val="tx1"/>
            </w14:solidFill>
          </w14:textFill>
        </w:rPr>
        <w:t>（中型企业、小型企业、微型企业）</w:t>
      </w:r>
      <w:r>
        <w:rPr>
          <w:rFonts w:ascii="仿宋_GB2312" w:hAnsi="仿宋_GB2312" w:eastAsia="仿宋_GB2312" w:cs="仿宋_GB2312"/>
          <w:color w:val="000000" w:themeColor="text1"/>
          <w14:textFill>
            <w14:solidFill>
              <w14:schemeClr w14:val="tx1"/>
            </w14:solidFill>
          </w14:textFill>
        </w:rPr>
        <w:t>；</w:t>
      </w:r>
    </w:p>
    <w:p w14:paraId="1A41DAF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w:t>
      </w:r>
      <w:r>
        <w:rPr>
          <w:rFonts w:ascii="仿宋_GB2312" w:hAnsi="仿宋_GB2312" w:eastAsia="仿宋_GB2312" w:cs="仿宋_GB2312"/>
          <w:color w:val="000000" w:themeColor="text1"/>
          <w:u w:val="single"/>
          <w14:textFill>
            <w14:solidFill>
              <w14:schemeClr w14:val="tx1"/>
            </w14:solidFill>
          </w14:textFill>
        </w:rPr>
        <w:t>（标的名称）</w:t>
      </w:r>
      <w:r>
        <w:rPr>
          <w:rFonts w:ascii="仿宋_GB2312" w:hAnsi="仿宋_GB2312" w:eastAsia="仿宋_GB2312" w:cs="仿宋_GB2312"/>
          <w:color w:val="000000" w:themeColor="text1"/>
          <w14:textFill>
            <w14:solidFill>
              <w14:schemeClr w14:val="tx1"/>
            </w14:solidFill>
          </w14:textFill>
        </w:rPr>
        <w:t>，属于</w:t>
      </w:r>
      <w:r>
        <w:rPr>
          <w:rFonts w:ascii="仿宋_GB2312" w:hAnsi="仿宋_GB2312" w:eastAsia="仿宋_GB2312" w:cs="仿宋_GB2312"/>
          <w:color w:val="000000" w:themeColor="text1"/>
          <w:u w:val="single"/>
          <w14:textFill>
            <w14:solidFill>
              <w14:schemeClr w14:val="tx1"/>
            </w14:solidFill>
          </w14:textFill>
        </w:rPr>
        <w:t>（采购文件中明确的所属行业）</w:t>
      </w:r>
      <w:r>
        <w:rPr>
          <w:rFonts w:ascii="仿宋_GB2312" w:hAnsi="仿宋_GB2312" w:eastAsia="仿宋_GB2312" w:cs="仿宋_GB2312"/>
          <w:color w:val="000000" w:themeColor="text1"/>
          <w14:textFill>
            <w14:solidFill>
              <w14:schemeClr w14:val="tx1"/>
            </w14:solidFill>
          </w14:textFill>
        </w:rPr>
        <w:t>；承建（承接）企业为</w:t>
      </w:r>
      <w:r>
        <w:rPr>
          <w:rFonts w:ascii="仿宋_GB2312" w:hAnsi="仿宋_GB2312" w:eastAsia="仿宋_GB2312" w:cs="仿宋_GB2312"/>
          <w:color w:val="000000" w:themeColor="text1"/>
          <w:u w:val="single"/>
          <w14:textFill>
            <w14:solidFill>
              <w14:schemeClr w14:val="tx1"/>
            </w14:solidFill>
          </w14:textFill>
        </w:rPr>
        <w:t>（企业名称）</w:t>
      </w:r>
      <w:r>
        <w:rPr>
          <w:rFonts w:ascii="仿宋_GB2312" w:hAnsi="仿宋_GB2312" w:eastAsia="仿宋_GB2312" w:cs="仿宋_GB2312"/>
          <w:color w:val="000000" w:themeColor="text1"/>
          <w14:textFill>
            <w14:solidFill>
              <w14:schemeClr w14:val="tx1"/>
            </w14:solidFill>
          </w14:textFill>
        </w:rPr>
        <w:t>，从业人员</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人，营业收入为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万元，资产总额为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万元，属于</w:t>
      </w:r>
      <w:r>
        <w:rPr>
          <w:rFonts w:ascii="仿宋_GB2312" w:hAnsi="仿宋_GB2312" w:eastAsia="仿宋_GB2312" w:cs="仿宋_GB2312"/>
          <w:color w:val="000000" w:themeColor="text1"/>
          <w:u w:val="single"/>
          <w14:textFill>
            <w14:solidFill>
              <w14:schemeClr w14:val="tx1"/>
            </w14:solidFill>
          </w14:textFill>
        </w:rPr>
        <w:t>（中型企业、小型企业、微型企业）</w:t>
      </w:r>
      <w:r>
        <w:rPr>
          <w:rFonts w:ascii="仿宋_GB2312" w:hAnsi="仿宋_GB2312" w:eastAsia="仿宋_GB2312" w:cs="仿宋_GB2312"/>
          <w:color w:val="000000" w:themeColor="text1"/>
          <w14:textFill>
            <w14:solidFill>
              <w14:schemeClr w14:val="tx1"/>
            </w14:solidFill>
          </w14:textFill>
        </w:rPr>
        <w:t>；</w:t>
      </w:r>
    </w:p>
    <w:p w14:paraId="2D95E6E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p w14:paraId="7F85EC3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以上企业，不属于大企业的分支机构，不存在控股股东为大企业的情形，也不存在与大企业的负责人为同一人的情形。</w:t>
      </w:r>
    </w:p>
    <w:p w14:paraId="7EAFA345">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本企业对上述声明内容的真实性负责。如有虚假，将依法承担相应责任。</w:t>
      </w:r>
    </w:p>
    <w:p w14:paraId="5E03FA0C">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1E5202A9">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6F4E815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2C9D7AE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1、从业人员、营业收入、资产总额填报上一年度数据，无上一年度数据的新成立企业可不填报。</w:t>
      </w:r>
    </w:p>
    <w:p w14:paraId="5E3F8257">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64262A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A36087B">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5C378FB0">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残疾人福利性单位声明函</w:t>
      </w:r>
    </w:p>
    <w:p w14:paraId="1740DB0C">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（以资格条件落实中小企业扶持政策时适用，若有）</w:t>
      </w:r>
    </w:p>
    <w:p w14:paraId="0899F71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40F14FF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7CAC87B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）由本投标人承建的（填写“所投采购包、品目号”）工程</w:t>
      </w:r>
    </w:p>
    <w:p w14:paraId="6E91A767">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）由本投标人承接的（填写“所投采购包、品目号”）服务；</w:t>
      </w:r>
    </w:p>
    <w:p w14:paraId="4E455BA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本投标人对上述声明的真实性负责。如有虚假，将依法承担相应责任。</w:t>
      </w:r>
    </w:p>
    <w:p w14:paraId="7EB9CC7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备注：</w:t>
      </w:r>
    </w:p>
    <w:p w14:paraId="0437B933">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1、请投标人按照实际情况编制填写本声明函，并在相应的（）中打“√”。</w:t>
      </w:r>
    </w:p>
    <w:p w14:paraId="23E7D3D5">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2、若《残疾人福利性单位声明函》内容不真实，视为提供虚假材料。</w:t>
      </w:r>
    </w:p>
    <w:p w14:paraId="4FB7FE59">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1C8381E4">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7C59B3E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附：</w:t>
      </w:r>
    </w:p>
    <w:p w14:paraId="7CA47785">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监狱企业证明材料</w:t>
      </w:r>
    </w:p>
    <w:p w14:paraId="54B0E9A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投标人为监狱企业，提供本单位制造的货物（承接的服务），并在电子投标文件中提供省级以上监狱管理局、戒毒管理局（含新疆生产建设兵团）出具的属于监狱企业的证明文件。</w:t>
      </w:r>
    </w:p>
    <w:p w14:paraId="11717F7C">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12419247">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二-5联合体协议（若有）</w:t>
      </w:r>
    </w:p>
    <w:p w14:paraId="7917993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致：</w:t>
      </w:r>
      <w:r>
        <w:rPr>
          <w:rFonts w:ascii="仿宋_GB2312" w:hAnsi="仿宋_GB2312" w:eastAsia="仿宋_GB2312" w:cs="仿宋_GB2312"/>
          <w:color w:val="000000" w:themeColor="text1"/>
          <w:u w:val="single"/>
          <w14:textFill>
            <w14:solidFill>
              <w14:schemeClr w14:val="tx1"/>
            </w14:solidFill>
          </w14:textFill>
        </w:rPr>
        <w:t>（采购人或采购代理机构）</w:t>
      </w:r>
    </w:p>
    <w:p w14:paraId="318A165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兹有</w:t>
      </w:r>
      <w:r>
        <w:rPr>
          <w:rFonts w:ascii="仿宋_GB2312" w:hAnsi="仿宋_GB2312" w:eastAsia="仿宋_GB2312" w:cs="仿宋_GB2312"/>
          <w:color w:val="000000" w:themeColor="text1"/>
          <w:u w:val="single"/>
          <w14:textFill>
            <w14:solidFill>
              <w14:schemeClr w14:val="tx1"/>
            </w14:solidFill>
          </w14:textFill>
        </w:rPr>
        <w:t>（填写“联合体中各方的全称”，各方的全称之间请用“、”分割）</w:t>
      </w:r>
      <w:r>
        <w:rPr>
          <w:rFonts w:ascii="仿宋_GB2312" w:hAnsi="仿宋_GB2312" w:eastAsia="仿宋_GB2312" w:cs="仿宋_GB2312"/>
          <w:color w:val="000000" w:themeColor="text1"/>
          <w14:textFill>
            <w14:solidFill>
              <w14:schemeClr w14:val="tx1"/>
            </w14:solidFill>
          </w14:textFill>
        </w:rPr>
        <w:t>自愿组成联合体，共同参加</w:t>
      </w:r>
      <w:r>
        <w:rPr>
          <w:rFonts w:ascii="仿宋_GB2312" w:hAnsi="仿宋_GB2312" w:eastAsia="仿宋_GB2312" w:cs="仿宋_GB2312"/>
          <w:color w:val="000000" w:themeColor="text1"/>
          <w:u w:val="single"/>
          <w14:textFill>
            <w14:solidFill>
              <w14:schemeClr w14:val="tx1"/>
            </w14:solidFill>
          </w14:textFill>
        </w:rPr>
        <w:t>（填写“项目名称”）</w:t>
      </w:r>
      <w:r>
        <w:rPr>
          <w:rFonts w:ascii="仿宋_GB2312" w:hAnsi="仿宋_GB2312" w:eastAsia="仿宋_GB2312" w:cs="仿宋_GB2312"/>
          <w:color w:val="000000" w:themeColor="text1"/>
          <w14:textFill>
            <w14:solidFill>
              <w14:schemeClr w14:val="tx1"/>
            </w14:solidFill>
          </w14:textFill>
        </w:rPr>
        <w:t xml:space="preserve"> 项目（项目编号：</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）的投标。现就联合体参加本项目投标的有关事宜达成下列协议：</w:t>
      </w:r>
    </w:p>
    <w:p w14:paraId="74EF0F2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一、联合体各方应承担的工作和义务具体如下：</w:t>
      </w:r>
    </w:p>
    <w:p w14:paraId="1B59ECF5">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1、牵头方（全称）：</w:t>
      </w:r>
      <w:r>
        <w:rPr>
          <w:rFonts w:ascii="仿宋_GB2312" w:hAnsi="仿宋_GB2312" w:eastAsia="仿宋_GB2312" w:cs="仿宋_GB2312"/>
          <w:color w:val="000000" w:themeColor="text1"/>
          <w:u w:val="single"/>
          <w14:textFill>
            <w14:solidFill>
              <w14:schemeClr w14:val="tx1"/>
            </w14:solidFill>
          </w14:textFill>
        </w:rPr>
        <w:t xml:space="preserve">（填写“工作及义务的具体内容”） </w:t>
      </w:r>
      <w:r>
        <w:rPr>
          <w:rFonts w:ascii="仿宋_GB2312" w:hAnsi="仿宋_GB2312" w:eastAsia="仿宋_GB2312" w:cs="仿宋_GB2312"/>
          <w:color w:val="000000" w:themeColor="text1"/>
          <w14:textFill>
            <w14:solidFill>
              <w14:schemeClr w14:val="tx1"/>
            </w14:solidFill>
          </w14:textFill>
        </w:rPr>
        <w:t>；</w:t>
      </w:r>
    </w:p>
    <w:p w14:paraId="56BB13B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2、成员方：</w:t>
      </w:r>
    </w:p>
    <w:p w14:paraId="2E4E48C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2.1（成员一的全称）：</w:t>
      </w:r>
      <w:r>
        <w:rPr>
          <w:rFonts w:ascii="仿宋_GB2312" w:hAnsi="仿宋_GB2312" w:eastAsia="仿宋_GB2312" w:cs="仿宋_GB2312"/>
          <w:color w:val="000000" w:themeColor="text1"/>
          <w:u w:val="single"/>
          <w14:textFill>
            <w14:solidFill>
              <w14:schemeClr w14:val="tx1"/>
            </w14:solidFill>
          </w14:textFill>
        </w:rPr>
        <w:t>（填写“工作及义务的具体内容”）</w:t>
      </w:r>
      <w:r>
        <w:rPr>
          <w:rFonts w:ascii="仿宋_GB2312" w:hAnsi="仿宋_GB2312" w:eastAsia="仿宋_GB2312" w:cs="仿宋_GB2312"/>
          <w:color w:val="000000" w:themeColor="text1"/>
          <w14:textFill>
            <w14:solidFill>
              <w14:schemeClr w14:val="tx1"/>
            </w14:solidFill>
          </w14:textFill>
        </w:rPr>
        <w:t xml:space="preserve"> ；</w:t>
      </w:r>
    </w:p>
    <w:p w14:paraId="740F31B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p w14:paraId="2B50891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二、联合体各方的合同金额占比，具体如下：</w:t>
      </w:r>
    </w:p>
    <w:p w14:paraId="7FCD030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1.牵头方（</w:t>
      </w:r>
      <w:r>
        <w:rPr>
          <w:rFonts w:ascii="仿宋_GB2312" w:hAnsi="仿宋_GB2312" w:eastAsia="仿宋_GB2312" w:cs="仿宋_GB2312"/>
          <w:color w:val="000000" w:themeColor="text1"/>
          <w:u w:val="single"/>
          <w14:textFill>
            <w14:solidFill>
              <w14:schemeClr w14:val="tx1"/>
            </w14:solidFill>
          </w14:textFill>
        </w:rPr>
        <w:t xml:space="preserve"> 全称</w:t>
      </w:r>
      <w:r>
        <w:rPr>
          <w:rFonts w:ascii="仿宋_GB2312" w:hAnsi="仿宋_GB2312" w:eastAsia="仿宋_GB2312" w:cs="仿宋_GB2312"/>
          <w:color w:val="000000" w:themeColor="text1"/>
          <w14:textFill>
            <w14:solidFill>
              <w14:schemeClr w14:val="tx1"/>
            </w14:solidFill>
          </w14:textFill>
        </w:rPr>
        <w:t xml:space="preserve"> ）的合同金额占合同总额的</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w:t>
      </w:r>
    </w:p>
    <w:p w14:paraId="6BCFD80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2.成员方：</w:t>
      </w:r>
    </w:p>
    <w:p w14:paraId="3F2EB19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2.1（</w:t>
      </w:r>
      <w:r>
        <w:rPr>
          <w:rFonts w:ascii="仿宋_GB2312" w:hAnsi="仿宋_GB2312" w:eastAsia="仿宋_GB2312" w:cs="仿宋_GB2312"/>
          <w:color w:val="000000" w:themeColor="text1"/>
          <w:u w:val="single"/>
          <w14:textFill>
            <w14:solidFill>
              <w14:schemeClr w14:val="tx1"/>
            </w14:solidFill>
          </w14:textFill>
        </w:rPr>
        <w:t xml:space="preserve"> 成员1的全称 </w:t>
      </w:r>
      <w:r>
        <w:rPr>
          <w:rFonts w:ascii="仿宋_GB2312" w:hAnsi="仿宋_GB2312" w:eastAsia="仿宋_GB2312" w:cs="仿宋_GB2312"/>
          <w:color w:val="000000" w:themeColor="text1"/>
          <w14:textFill>
            <w14:solidFill>
              <w14:schemeClr w14:val="tx1"/>
            </w14:solidFill>
          </w14:textFill>
        </w:rPr>
        <w:t>）的合同金额占合同总额的</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w:t>
      </w:r>
    </w:p>
    <w:p w14:paraId="2A50CD5B">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p w14:paraId="5FD9CC7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三、联合体各方约定：</w:t>
      </w:r>
    </w:p>
    <w:p w14:paraId="21F1BE2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1、由</w:t>
      </w:r>
      <w:r>
        <w:rPr>
          <w:rFonts w:ascii="仿宋_GB2312" w:hAnsi="仿宋_GB2312" w:eastAsia="仿宋_GB2312" w:cs="仿宋_GB2312"/>
          <w:color w:val="000000" w:themeColor="text1"/>
          <w:u w:val="single"/>
          <w14:textFill>
            <w14:solidFill>
              <w14:schemeClr w14:val="tx1"/>
            </w14:solidFill>
          </w14:textFill>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30C8C5D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2、联合体各方约定由</w:t>
      </w:r>
      <w:r>
        <w:rPr>
          <w:rFonts w:ascii="仿宋_GB2312" w:hAnsi="仿宋_GB2312" w:eastAsia="仿宋_GB2312" w:cs="仿宋_GB2312"/>
          <w:color w:val="000000" w:themeColor="text1"/>
          <w:u w:val="single"/>
          <w14:textFill>
            <w14:solidFill>
              <w14:schemeClr w14:val="tx1"/>
            </w14:solidFill>
          </w14:textFill>
        </w:rPr>
        <w:t>（填写“牵头方的全称”）代表联合体办理投标保证金事宜。</w:t>
      </w:r>
    </w:p>
    <w:p w14:paraId="7309EB0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52ECD87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四、若中标，牵头方将代表联合体与采购人就合同签订事宜进行协商；若协商一致，则联合体各方将共同与采购人签订政府采购合同，并就政府采购合同约定的事项对采购人承担连带责任。</w:t>
      </w:r>
    </w:p>
    <w:p w14:paraId="2D00D6B7">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五、本协议自签署之日起生效，政府采购合同履行完毕后自动失效。</w:t>
      </w:r>
    </w:p>
    <w:p w14:paraId="546231D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六、本协议一式</w:t>
      </w:r>
      <w:r>
        <w:rPr>
          <w:rFonts w:ascii="仿宋_GB2312" w:hAnsi="仿宋_GB2312" w:eastAsia="仿宋_GB2312" w:cs="仿宋_GB2312"/>
          <w:color w:val="000000" w:themeColor="text1"/>
          <w:u w:val="single"/>
          <w14:textFill>
            <w14:solidFill>
              <w14:schemeClr w14:val="tx1"/>
            </w14:solidFill>
          </w14:textFill>
        </w:rPr>
        <w:t>（填写具体份数）</w:t>
      </w:r>
      <w:r>
        <w:rPr>
          <w:rFonts w:ascii="仿宋_GB2312" w:hAnsi="仿宋_GB2312" w:eastAsia="仿宋_GB2312" w:cs="仿宋_GB2312"/>
          <w:color w:val="000000" w:themeColor="text1"/>
          <w14:textFill>
            <w14:solidFill>
              <w14:schemeClr w14:val="tx1"/>
            </w14:solidFill>
          </w14:textFill>
        </w:rPr>
        <w:t>份，联合体各方各执一份，电子投标文件中提交一份。</w:t>
      </w:r>
    </w:p>
    <w:p w14:paraId="0B779DE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（以下无正文）</w:t>
      </w:r>
    </w:p>
    <w:p w14:paraId="04B816B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牵头方：</w:t>
      </w:r>
      <w:r>
        <w:rPr>
          <w:rFonts w:ascii="仿宋_GB2312" w:hAnsi="仿宋_GB2312" w:eastAsia="仿宋_GB2312" w:cs="仿宋_GB2312"/>
          <w:color w:val="000000" w:themeColor="text1"/>
          <w:u w:val="single"/>
          <w14:textFill>
            <w14:solidFill>
              <w14:schemeClr w14:val="tx1"/>
            </w14:solidFill>
          </w14:textFill>
        </w:rPr>
        <w:t>（全称并加盖单位公章）</w:t>
      </w:r>
    </w:p>
    <w:p w14:paraId="1480BDC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法定代表人或其委托代理人：</w:t>
      </w:r>
      <w:r>
        <w:rPr>
          <w:rFonts w:ascii="仿宋_GB2312" w:hAnsi="仿宋_GB2312" w:eastAsia="仿宋_GB2312" w:cs="仿宋_GB2312"/>
          <w:color w:val="000000" w:themeColor="text1"/>
          <w:u w:val="single"/>
          <w14:textFill>
            <w14:solidFill>
              <w14:schemeClr w14:val="tx1"/>
            </w14:solidFill>
          </w14:textFill>
        </w:rPr>
        <w:t xml:space="preserve"> （签字或盖章）</w:t>
      </w:r>
    </w:p>
    <w:p w14:paraId="4174E1E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成员一：</w:t>
      </w:r>
      <w:r>
        <w:rPr>
          <w:rFonts w:ascii="仿宋_GB2312" w:hAnsi="仿宋_GB2312" w:eastAsia="仿宋_GB2312" w:cs="仿宋_GB2312"/>
          <w:color w:val="000000" w:themeColor="text1"/>
          <w:u w:val="single"/>
          <w14:textFill>
            <w14:solidFill>
              <w14:schemeClr w14:val="tx1"/>
            </w14:solidFill>
          </w14:textFill>
        </w:rPr>
        <w:t>（全称并加盖成员一的单位公章）</w:t>
      </w:r>
    </w:p>
    <w:p w14:paraId="60F6F32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法定代表人或其委托代理人：</w:t>
      </w:r>
      <w:r>
        <w:rPr>
          <w:rFonts w:ascii="仿宋_GB2312" w:hAnsi="仿宋_GB2312" w:eastAsia="仿宋_GB2312" w:cs="仿宋_GB2312"/>
          <w:color w:val="000000" w:themeColor="text1"/>
          <w:u w:val="single"/>
          <w14:textFill>
            <w14:solidFill>
              <w14:schemeClr w14:val="tx1"/>
            </w14:solidFill>
          </w14:textFill>
        </w:rPr>
        <w:t xml:space="preserve"> （签字或盖章）</w:t>
      </w:r>
    </w:p>
    <w:p w14:paraId="4F6376B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p w14:paraId="43E4589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成员**：</w:t>
      </w:r>
      <w:r>
        <w:rPr>
          <w:rFonts w:ascii="仿宋_GB2312" w:hAnsi="仿宋_GB2312" w:eastAsia="仿宋_GB2312" w:cs="仿宋_GB2312"/>
          <w:color w:val="000000" w:themeColor="text1"/>
          <w:u w:val="single"/>
          <w14:textFill>
            <w14:solidFill>
              <w14:schemeClr w14:val="tx1"/>
            </w14:solidFill>
          </w14:textFill>
        </w:rPr>
        <w:t>（全称并加盖成员**的单位公章）</w:t>
      </w:r>
    </w:p>
    <w:p w14:paraId="4B0709D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法定代表人或其委托代理人：</w:t>
      </w:r>
      <w:r>
        <w:rPr>
          <w:rFonts w:ascii="仿宋_GB2312" w:hAnsi="仿宋_GB2312" w:eastAsia="仿宋_GB2312" w:cs="仿宋_GB2312"/>
          <w:color w:val="000000" w:themeColor="text1"/>
          <w:u w:val="single"/>
          <w14:textFill>
            <w14:solidFill>
              <w14:schemeClr w14:val="tx1"/>
            </w14:solidFill>
          </w14:textFill>
        </w:rPr>
        <w:t xml:space="preserve"> （签字或盖章）</w:t>
      </w:r>
    </w:p>
    <w:p w14:paraId="54DC03EC">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签署日期：</w:t>
      </w:r>
      <w:r>
        <w:rPr>
          <w:rFonts w:ascii="仿宋_GB2312" w:hAnsi="仿宋_GB2312" w:eastAsia="仿宋_GB2312" w:cs="仿宋_GB2312"/>
          <w:color w:val="000000" w:themeColor="text1"/>
          <w:u w:val="single"/>
          <w14:textFill>
            <w14:solidFill>
              <w14:schemeClr w14:val="tx1"/>
            </w14:solidFill>
          </w14:textFill>
        </w:rPr>
        <w:t>　　年　　月　　日</w:t>
      </w:r>
    </w:p>
    <w:p w14:paraId="1BE914F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7807F06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1、招标文件接受联合体投标且投标人为联合体的，投标人应提供本协议；否则无须提供。</w:t>
      </w:r>
    </w:p>
    <w:p w14:paraId="33C3968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2、本协议由委托代理人签字或盖章的，应按照本章载明的格式提供“单位授权书”。</w:t>
      </w:r>
    </w:p>
    <w:p w14:paraId="585D07BB">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3、在以联合体形式落实中小企业预留份额项目中，投标人除了要提供《中小企业声明函》，还需提供本协议。</w:t>
      </w:r>
    </w:p>
    <w:p w14:paraId="50C0623F">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1BEE185E">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二-6分包意向协议（若有）</w:t>
      </w:r>
    </w:p>
    <w:p w14:paraId="76B5E145">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甲方（总包方）：</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（即本项目的投标人）</w:t>
      </w:r>
    </w:p>
    <w:p w14:paraId="1221FC3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乙方（分包方）：</w:t>
      </w:r>
      <w:r>
        <w:rPr>
          <w:rFonts w:ascii="仿宋_GB2312" w:hAnsi="仿宋_GB2312" w:eastAsia="仿宋_GB2312" w:cs="仿宋_GB2312"/>
          <w:color w:val="000000" w:themeColor="text1"/>
          <w:u w:val="single"/>
          <w14:textFill>
            <w14:solidFill>
              <w14:schemeClr w14:val="tx1"/>
            </w14:solidFill>
          </w14:textFill>
        </w:rPr>
        <w:t>　　　　　　　</w:t>
      </w:r>
    </w:p>
    <w:p w14:paraId="4DC5DF0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兹有甲方参加</w:t>
      </w:r>
      <w:r>
        <w:rPr>
          <w:rFonts w:ascii="仿宋_GB2312" w:hAnsi="仿宋_GB2312" w:eastAsia="仿宋_GB2312" w:cs="仿宋_GB2312"/>
          <w:color w:val="000000" w:themeColor="text1"/>
          <w:u w:val="single"/>
          <w14:textFill>
            <w14:solidFill>
              <w14:schemeClr w14:val="tx1"/>
            </w14:solidFill>
          </w14:textFill>
        </w:rPr>
        <w:t>（填写“项目名称”）</w:t>
      </w:r>
      <w:r>
        <w:rPr>
          <w:rFonts w:ascii="仿宋_GB2312" w:hAnsi="仿宋_GB2312" w:eastAsia="仿宋_GB2312" w:cs="仿宋_GB2312"/>
          <w:color w:val="000000" w:themeColor="text1"/>
          <w14:textFill>
            <w14:solidFill>
              <w14:schemeClr w14:val="tx1"/>
            </w14:solidFill>
          </w14:textFill>
        </w:rPr>
        <w:t xml:space="preserve"> 项目（项目编号：</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）的政府采购活动。甲方期望将采购项目的部分采购标的分包给乙方完成，而乙方保证能够向甲方提供本协议项下的采购标的，甲、乙双方就合同分包的有关事宜达成下列协议：</w:t>
      </w:r>
    </w:p>
    <w:p w14:paraId="0285847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一、分包标的</w:t>
      </w:r>
    </w:p>
    <w:p w14:paraId="11752FC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u w:val="single"/>
          <w14:textFill>
            <w14:solidFill>
              <w14:schemeClr w14:val="tx1"/>
            </w14:solidFill>
          </w14:textFill>
        </w:rPr>
        <w:t>（根据双方的意向填写，可以是表格或文字描述）。</w:t>
      </w:r>
    </w:p>
    <w:p w14:paraId="69B3BA2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二、分包合同金额占比</w:t>
      </w:r>
    </w:p>
    <w:p w14:paraId="6C1276D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分包合同价占投标总价的比例：</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w:t>
      </w:r>
    </w:p>
    <w:p w14:paraId="1182471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三、其他条款</w:t>
      </w:r>
    </w:p>
    <w:p w14:paraId="01C90CB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7CD5D6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F8AFC9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甲方：</w:t>
            </w:r>
          </w:p>
        </w:tc>
        <w:tc>
          <w:tcPr>
            <w:tcW w:w="4153" w:type="dxa"/>
          </w:tcPr>
          <w:p w14:paraId="14A20BF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乙方：</w:t>
            </w:r>
          </w:p>
        </w:tc>
      </w:tr>
      <w:tr w14:paraId="3AC76D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987CE0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住所：</w:t>
            </w:r>
          </w:p>
        </w:tc>
        <w:tc>
          <w:tcPr>
            <w:tcW w:w="4153" w:type="dxa"/>
          </w:tcPr>
          <w:p w14:paraId="5C853BB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住所：</w:t>
            </w:r>
          </w:p>
        </w:tc>
      </w:tr>
      <w:tr w14:paraId="028952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285093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单位负责人或委托代理人：</w:t>
            </w:r>
          </w:p>
        </w:tc>
        <w:tc>
          <w:tcPr>
            <w:tcW w:w="4153" w:type="dxa"/>
          </w:tcPr>
          <w:p w14:paraId="3CD040A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单位负责人或委托代理人：</w:t>
            </w:r>
          </w:p>
        </w:tc>
      </w:tr>
      <w:tr w14:paraId="6E1158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D6BE27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联系方法：</w:t>
            </w:r>
          </w:p>
        </w:tc>
        <w:tc>
          <w:tcPr>
            <w:tcW w:w="4153" w:type="dxa"/>
          </w:tcPr>
          <w:p w14:paraId="79626DF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联系方法：</w:t>
            </w:r>
          </w:p>
        </w:tc>
      </w:tr>
      <w:tr w14:paraId="095229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53AA67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开户银行：</w:t>
            </w:r>
          </w:p>
        </w:tc>
        <w:tc>
          <w:tcPr>
            <w:tcW w:w="4153" w:type="dxa"/>
          </w:tcPr>
          <w:p w14:paraId="15E0ECC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开户银行：</w:t>
            </w:r>
          </w:p>
        </w:tc>
      </w:tr>
      <w:tr w14:paraId="2C495F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1D385F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账号：</w:t>
            </w:r>
          </w:p>
        </w:tc>
        <w:tc>
          <w:tcPr>
            <w:tcW w:w="4153" w:type="dxa"/>
          </w:tcPr>
          <w:p w14:paraId="03617F3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账号：</w:t>
            </w:r>
          </w:p>
        </w:tc>
      </w:tr>
      <w:tr w14:paraId="705515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23CD42F1">
            <w:pPr>
              <w:pStyle w:val="6"/>
              <w:ind w:firstLine="96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签订地点：</w:t>
            </w:r>
            <w:r>
              <w:rPr>
                <w:rFonts w:ascii="仿宋_GB2312" w:hAnsi="仿宋_GB2312" w:eastAsia="仿宋_GB2312" w:cs="仿宋_GB2312"/>
                <w:color w:val="000000" w:themeColor="text1"/>
                <w:u w:val="single"/>
                <w14:textFill>
                  <w14:solidFill>
                    <w14:schemeClr w14:val="tx1"/>
                  </w14:solidFill>
                </w14:textFill>
              </w:rPr>
              <w:t>　　　　　　　　　　</w:t>
            </w:r>
          </w:p>
          <w:p w14:paraId="08A57BFC">
            <w:pPr>
              <w:pStyle w:val="6"/>
              <w:ind w:firstLine="96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签约日期：</w:t>
            </w:r>
            <w:r>
              <w:rPr>
                <w:rFonts w:ascii="仿宋_GB2312" w:hAnsi="仿宋_GB2312" w:eastAsia="仿宋_GB2312" w:cs="仿宋_GB2312"/>
                <w:color w:val="000000" w:themeColor="text1"/>
                <w:u w:val="single"/>
                <w14:textFill>
                  <w14:solidFill>
                    <w14:schemeClr w14:val="tx1"/>
                  </w14:solidFill>
                </w14:textFill>
              </w:rPr>
              <w:t>　　年　　月　　日</w:t>
            </w:r>
          </w:p>
        </w:tc>
      </w:tr>
    </w:tbl>
    <w:p w14:paraId="330E460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05556E0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1.招标文件接受合同分包且投标人拟将合同分包的，应提供本协议；否则无须提供。</w:t>
      </w:r>
    </w:p>
    <w:p w14:paraId="7DE6CD33">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2.本协议由委托代理人签字或盖章的，应按照本章载明的格式提供“单位授权书”。</w:t>
      </w:r>
    </w:p>
    <w:p w14:paraId="1BDCB9B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3.在以合同分包形式落实中小企业预留份额项目中，投标人除了要提供《中小企业声明函》，还需提供本协议。</w:t>
      </w:r>
    </w:p>
    <w:p w14:paraId="3AEFB4D1">
      <w:pPr>
        <w:pStyle w:val="6"/>
        <w:ind w:firstLine="96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661DE4EE">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二-7其他资格证明文件（若有）</w:t>
      </w:r>
    </w:p>
    <w:p w14:paraId="54EAB390">
      <w:pPr>
        <w:pStyle w:val="6"/>
        <w:ind w:firstLine="960"/>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二-7-①招标文件规定的其他资格证明文件（若有）</w:t>
      </w:r>
    </w:p>
    <w:p w14:paraId="1F3440F1">
      <w:pPr>
        <w:pStyle w:val="6"/>
        <w:ind w:firstLine="480"/>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编制说明</w:t>
      </w:r>
    </w:p>
    <w:p w14:paraId="7228ADD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除招标文件另有规定外，招标文件要求提交的除前述资格证明文件外的其他资格证明文件（若有）加盖投标人的单位公章后应在此项下提交。</w:t>
      </w:r>
    </w:p>
    <w:p w14:paraId="4B120182">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0E765B7A">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三、投标保证金</w:t>
      </w:r>
    </w:p>
    <w:p w14:paraId="7A8D3927">
      <w:pPr>
        <w:pStyle w:val="6"/>
        <w:ind w:firstLine="480"/>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编制说明</w:t>
      </w:r>
    </w:p>
    <w:p w14:paraId="07FA843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1、在此项下提交的“投标保证金”材料可使用转账凭证复印件或从福建省政府采购网上公开信息系统中下载的有关原始页面的打印件。</w:t>
      </w:r>
    </w:p>
    <w:p w14:paraId="33B55CE7">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2、投标保证金是否已提交的认定按照招标文件第三章规定执行。</w:t>
      </w:r>
    </w:p>
    <w:p w14:paraId="6931712A">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6477F81A">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封面格式(报价部分)</w:t>
      </w:r>
    </w:p>
    <w:p w14:paraId="749375A5">
      <w:pPr>
        <w:pStyle w:val="6"/>
        <w:jc w:val="center"/>
        <w:outlineLvl w:val="0"/>
        <w:rPr>
          <w:color w:val="000000" w:themeColor="text1"/>
          <w14:textFill>
            <w14:solidFill>
              <w14:schemeClr w14:val="tx1"/>
            </w14:solidFill>
          </w14:textFill>
        </w:rPr>
      </w:pPr>
      <w:r>
        <w:rPr>
          <w:rFonts w:ascii="仿宋_GB2312" w:hAnsi="仿宋_GB2312" w:eastAsia="仿宋_GB2312" w:cs="仿宋_GB2312"/>
          <w:b/>
          <w:color w:val="000000" w:themeColor="text1"/>
          <w:sz w:val="48"/>
          <w14:textFill>
            <w14:solidFill>
              <w14:schemeClr w14:val="tx1"/>
            </w14:solidFill>
          </w14:textFill>
        </w:rPr>
        <w:t>福建省政府采购投标文件</w:t>
      </w:r>
    </w:p>
    <w:p w14:paraId="14D090AF">
      <w:pPr>
        <w:pStyle w:val="6"/>
        <w:jc w:val="center"/>
        <w:outlineLvl w:val="0"/>
        <w:rPr>
          <w:color w:val="000000" w:themeColor="text1"/>
          <w14:textFill>
            <w14:solidFill>
              <w14:schemeClr w14:val="tx1"/>
            </w14:solidFill>
          </w14:textFill>
        </w:rPr>
      </w:pPr>
      <w:r>
        <w:rPr>
          <w:rFonts w:ascii="仿宋_GB2312" w:hAnsi="仿宋_GB2312" w:eastAsia="仿宋_GB2312" w:cs="仿宋_GB2312"/>
          <w:b/>
          <w:color w:val="000000" w:themeColor="text1"/>
          <w:sz w:val="48"/>
          <w14:textFill>
            <w14:solidFill>
              <w14:schemeClr w14:val="tx1"/>
            </w14:solidFill>
          </w14:textFill>
        </w:rPr>
        <w:t>（报价部分）</w:t>
      </w:r>
      <w:r>
        <w:rPr>
          <w:color w:val="000000" w:themeColor="text1"/>
          <w14:textFill>
            <w14:solidFill>
              <w14:schemeClr w14:val="tx1"/>
            </w14:solidFill>
          </w14:textFill>
        </w:rPr>
        <w:br w:type="textWrapping"/>
      </w:r>
      <w:r>
        <w:rPr>
          <w:color w:val="000000" w:themeColor="text1"/>
          <w14:textFill>
            <w14:solidFill>
              <w14:schemeClr w14:val="tx1"/>
            </w14:solidFill>
          </w14:textFill>
        </w:rPr>
        <w:br w:type="textWrapping"/>
      </w:r>
    </w:p>
    <w:p w14:paraId="2248CE2D">
      <w:pPr>
        <w:pStyle w:val="6"/>
        <w:jc w:val="center"/>
        <w:outlineLvl w:val="1"/>
        <w:rPr>
          <w:color w:val="000000" w:themeColor="text1"/>
          <w14:textFill>
            <w14:solidFill>
              <w14:schemeClr w14:val="tx1"/>
            </w14:solidFill>
          </w14:textFill>
        </w:rPr>
      </w:pPr>
      <w:r>
        <w:rPr>
          <w:rFonts w:ascii="仿宋_GB2312" w:hAnsi="仿宋_GB2312" w:eastAsia="仿宋_GB2312" w:cs="仿宋_GB2312"/>
          <w:b/>
          <w:color w:val="000000" w:themeColor="text1"/>
          <w:sz w:val="36"/>
          <w14:textFill>
            <w14:solidFill>
              <w14:schemeClr w14:val="tx1"/>
            </w14:solidFill>
          </w14:textFill>
        </w:rPr>
        <w:t>（填写正本或副本）</w:t>
      </w:r>
      <w:r>
        <w:rPr>
          <w:color w:val="000000" w:themeColor="text1"/>
          <w14:textFill>
            <w14:solidFill>
              <w14:schemeClr w14:val="tx1"/>
            </w14:solidFill>
          </w14:textFill>
        </w:rPr>
        <w:br w:type="textWrapping"/>
      </w:r>
      <w:r>
        <w:rPr>
          <w:color w:val="000000" w:themeColor="text1"/>
          <w14:textFill>
            <w14:solidFill>
              <w14:schemeClr w14:val="tx1"/>
            </w14:solidFill>
          </w14:textFill>
        </w:rPr>
        <w:br w:type="textWrapping"/>
      </w:r>
      <w:r>
        <w:rPr>
          <w:color w:val="000000" w:themeColor="text1"/>
          <w14:textFill>
            <w14:solidFill>
              <w14:schemeClr w14:val="tx1"/>
            </w14:solidFill>
          </w14:textFill>
        </w:rPr>
        <w:br w:type="textWrapping"/>
      </w:r>
      <w:r>
        <w:rPr>
          <w:color w:val="000000" w:themeColor="text1"/>
          <w14:textFill>
            <w14:solidFill>
              <w14:schemeClr w14:val="tx1"/>
            </w14:solidFill>
          </w14:textFill>
        </w:rPr>
        <w:br w:type="textWrapping"/>
      </w:r>
    </w:p>
    <w:p w14:paraId="45515D84">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项目名称：（由投标人填写）</w:t>
      </w:r>
    </w:p>
    <w:p w14:paraId="4C2AD66D">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备案编号：（由投标人填写）</w:t>
      </w:r>
    </w:p>
    <w:p w14:paraId="102E1D3B">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项目编号：（由投标人填写）</w:t>
      </w:r>
    </w:p>
    <w:p w14:paraId="487E7067">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所投采购包：（由投标人填写）</w:t>
      </w:r>
    </w:p>
    <w:p w14:paraId="19C03A6B">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投标人：（填写“全称”）</w:t>
      </w:r>
    </w:p>
    <w:p w14:paraId="5993624E">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（由投标人填写）年（由投标人填写）月</w:t>
      </w:r>
    </w:p>
    <w:p w14:paraId="6F1046B0">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5C9ECFD9">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索引</w:t>
      </w:r>
    </w:p>
    <w:p w14:paraId="0EBE14C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一、开标（报价）一览表</w:t>
      </w:r>
    </w:p>
    <w:p w14:paraId="61886643">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二、投标（响应）报价明细表</w:t>
      </w:r>
    </w:p>
    <w:p w14:paraId="012E9883">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三、招标文件规定的价格扣除证明材料（若有）</w:t>
      </w:r>
    </w:p>
    <w:p w14:paraId="0F0754B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4BCBC120">
      <w:pPr>
        <w:pStyle w:val="6"/>
        <w:jc w:val="left"/>
        <w:outlineLvl w:val="0"/>
        <w:rPr>
          <w:color w:val="000000" w:themeColor="text1"/>
          <w14:textFill>
            <w14:solidFill>
              <w14:schemeClr w14:val="tx1"/>
            </w14:solidFill>
          </w14:textFill>
        </w:rPr>
      </w:pPr>
      <w:r>
        <w:rPr>
          <w:rFonts w:ascii="仿宋_GB2312" w:hAnsi="仿宋_GB2312" w:eastAsia="仿宋_GB2312" w:cs="仿宋_GB2312"/>
          <w:b/>
          <w:color w:val="000000" w:themeColor="text1"/>
          <w:sz w:val="48"/>
          <w14:textFill>
            <w14:solidFill>
              <w14:schemeClr w14:val="tx1"/>
            </w14:solidFill>
          </w14:textFill>
        </w:rPr>
        <w:t>开标（报价）一览表</w:t>
      </w:r>
    </w:p>
    <w:p w14:paraId="32B60758">
      <w:pPr>
        <w:pStyle w:val="6"/>
        <w:ind w:right="165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项目编号：[350101]TZXM[GK]2026001</w:t>
      </w:r>
    </w:p>
    <w:p w14:paraId="1F483130">
      <w:pPr>
        <w:pStyle w:val="6"/>
        <w:spacing w:line="375" w:lineRule="exact"/>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项目名称：2027-2029年乌龙江公园淮安大桥至湾边大桥段（不含沙滩公园）绿化养护服务项目</w:t>
      </w:r>
    </w:p>
    <w:p w14:paraId="13807799">
      <w:pPr>
        <w:pStyle w:val="6"/>
        <w:spacing w:line="375" w:lineRule="exact"/>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采购包：1(2027-2029年乌龙江公园淮安大桥至湾边大桥段（不含沙滩公园）绿化养护服务项目)</w:t>
      </w:r>
    </w:p>
    <w:p w14:paraId="37700163">
      <w:pPr>
        <w:pStyle w:val="6"/>
        <w:spacing w:line="375" w:lineRule="exact"/>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投标人（供应商）名称：</w:t>
      </w:r>
    </w:p>
    <w:p w14:paraId="3A1B78CA">
      <w:pPr>
        <w:pStyle w:val="6"/>
        <w:jc w:val="left"/>
        <w:rPr>
          <w:color w:val="000000" w:themeColor="text1"/>
          <w14:textFill>
            <w14:solidFill>
              <w14:schemeClr w14:val="tx1"/>
            </w14:solidFill>
          </w14:textFill>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421CA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2DD872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序号</w:t>
            </w:r>
          </w:p>
        </w:tc>
        <w:tc>
          <w:tcPr>
            <w:tcW w:w="1661" w:type="dxa"/>
          </w:tcPr>
          <w:p w14:paraId="1EC6A96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报价内容</w:t>
            </w:r>
          </w:p>
        </w:tc>
        <w:tc>
          <w:tcPr>
            <w:tcW w:w="1661" w:type="dxa"/>
          </w:tcPr>
          <w:p w14:paraId="7245942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最高限价</w:t>
            </w:r>
          </w:p>
        </w:tc>
        <w:tc>
          <w:tcPr>
            <w:tcW w:w="1661" w:type="dxa"/>
          </w:tcPr>
          <w:p w14:paraId="3B6FDE0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响应报价</w:t>
            </w:r>
          </w:p>
        </w:tc>
        <w:tc>
          <w:tcPr>
            <w:tcW w:w="1661" w:type="dxa"/>
          </w:tcPr>
          <w:p w14:paraId="059019A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价款形式</w:t>
            </w:r>
          </w:p>
        </w:tc>
      </w:tr>
      <w:tr w14:paraId="3F310C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035492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1</w:t>
            </w:r>
          </w:p>
        </w:tc>
        <w:tc>
          <w:tcPr>
            <w:tcW w:w="1661" w:type="dxa"/>
          </w:tcPr>
          <w:p w14:paraId="677F931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2027-2029年乌龙江公园淮安大桥至湾边大桥段（不含沙滩公园）绿化养护服务项目</w:t>
            </w:r>
          </w:p>
        </w:tc>
        <w:tc>
          <w:tcPr>
            <w:tcW w:w="1661" w:type="dxa"/>
          </w:tcPr>
          <w:p w14:paraId="526EEC5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11124000  元</w:t>
            </w:r>
          </w:p>
        </w:tc>
        <w:tc>
          <w:tcPr>
            <w:tcW w:w="1661" w:type="dxa"/>
          </w:tcPr>
          <w:p w14:paraId="0D2935E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「汇总引用」  元</w:t>
            </w:r>
          </w:p>
        </w:tc>
        <w:tc>
          <w:tcPr>
            <w:tcW w:w="1661" w:type="dxa"/>
          </w:tcPr>
          <w:p w14:paraId="65E5E8D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总价</w:t>
            </w:r>
          </w:p>
        </w:tc>
      </w:tr>
    </w:tbl>
    <w:p w14:paraId="0BD3BF5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备注：无</w:t>
      </w:r>
    </w:p>
    <w:p w14:paraId="73BBD1A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时间：     年     月     日</w:t>
      </w:r>
    </w:p>
    <w:p w14:paraId="3AF5A54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签章：                     </w:t>
      </w:r>
    </w:p>
    <w:p w14:paraId="0A995BD0">
      <w:pPr>
        <w:pStyle w:val="6"/>
        <w:jc w:val="left"/>
        <w:outlineLvl w:val="0"/>
        <w:rPr>
          <w:color w:val="000000" w:themeColor="text1"/>
          <w14:textFill>
            <w14:solidFill>
              <w14:schemeClr w14:val="tx1"/>
            </w14:solidFill>
          </w14:textFill>
        </w:rPr>
      </w:pPr>
      <w:r>
        <w:rPr>
          <w:rFonts w:ascii="仿宋_GB2312" w:hAnsi="仿宋_GB2312" w:eastAsia="仿宋_GB2312" w:cs="仿宋_GB2312"/>
          <w:b/>
          <w:color w:val="000000" w:themeColor="text1"/>
          <w:sz w:val="48"/>
          <w14:textFill>
            <w14:solidFill>
              <w14:schemeClr w14:val="tx1"/>
            </w14:solidFill>
          </w14:textFill>
        </w:rPr>
        <w:t>投标（响应）报价明细表</w:t>
      </w:r>
    </w:p>
    <w:p w14:paraId="6ABD5F1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项目编号：[350101]TZXM[GK]2026001</w:t>
      </w:r>
    </w:p>
    <w:p w14:paraId="5FEC10A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项目名称：2027-2029年乌龙江公园淮安大桥至湾边大桥段（不含沙滩公园）绿化养护服务项目</w:t>
      </w:r>
    </w:p>
    <w:p w14:paraId="56D0B53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采购包：2027-2029年乌龙江公园淮安大桥至湾边大桥段（不含沙滩公园）绿化养护服务项目</w:t>
      </w:r>
    </w:p>
    <w:p w14:paraId="45F1BA6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投标人名称：</w:t>
      </w:r>
    </w:p>
    <w:p w14:paraId="3F4F832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2027-2029年乌龙江公园淮安大桥至湾边大桥段（不含沙滩公园）绿化养护服务项目</w:t>
      </w:r>
    </w:p>
    <w:p w14:paraId="0B045F15">
      <w:pPr>
        <w:pStyle w:val="6"/>
        <w:jc w:val="left"/>
        <w:rPr>
          <w:color w:val="000000" w:themeColor="text1"/>
          <w14:textFill>
            <w14:solidFill>
              <w14:schemeClr w14:val="tx1"/>
            </w14:solidFill>
          </w14:textFill>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11"/>
        <w:gridCol w:w="1116"/>
        <w:gridCol w:w="568"/>
        <w:gridCol w:w="569"/>
        <w:gridCol w:w="569"/>
        <w:gridCol w:w="569"/>
        <w:gridCol w:w="1016"/>
        <w:gridCol w:w="569"/>
        <w:gridCol w:w="816"/>
        <w:gridCol w:w="512"/>
        <w:gridCol w:w="569"/>
        <w:gridCol w:w="569"/>
        <w:gridCol w:w="569"/>
      </w:tblGrid>
      <w:tr w14:paraId="49E473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A02F33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序号</w:t>
            </w:r>
          </w:p>
        </w:tc>
        <w:tc>
          <w:tcPr>
            <w:tcW w:w="639" w:type="dxa"/>
          </w:tcPr>
          <w:p w14:paraId="76BE092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服务名称</w:t>
            </w:r>
          </w:p>
        </w:tc>
        <w:tc>
          <w:tcPr>
            <w:tcW w:w="639" w:type="dxa"/>
          </w:tcPr>
          <w:p w14:paraId="0F5EE18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服务范围</w:t>
            </w:r>
          </w:p>
        </w:tc>
        <w:tc>
          <w:tcPr>
            <w:tcW w:w="639" w:type="dxa"/>
          </w:tcPr>
          <w:p w14:paraId="49BE538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服务要求</w:t>
            </w:r>
          </w:p>
        </w:tc>
        <w:tc>
          <w:tcPr>
            <w:tcW w:w="639" w:type="dxa"/>
          </w:tcPr>
          <w:p w14:paraId="09A99BD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服务时间</w:t>
            </w:r>
          </w:p>
        </w:tc>
        <w:tc>
          <w:tcPr>
            <w:tcW w:w="639" w:type="dxa"/>
          </w:tcPr>
          <w:p w14:paraId="0D5511D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服务标准</w:t>
            </w:r>
          </w:p>
        </w:tc>
        <w:tc>
          <w:tcPr>
            <w:tcW w:w="639" w:type="dxa"/>
          </w:tcPr>
          <w:p w14:paraId="24C88E3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最高限价</w:t>
            </w:r>
          </w:p>
        </w:tc>
        <w:tc>
          <w:tcPr>
            <w:tcW w:w="639" w:type="dxa"/>
          </w:tcPr>
          <w:p w14:paraId="7BFD267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单价</w:t>
            </w:r>
          </w:p>
        </w:tc>
        <w:tc>
          <w:tcPr>
            <w:tcW w:w="639" w:type="dxa"/>
          </w:tcPr>
          <w:p w14:paraId="5DEC510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数量</w:t>
            </w:r>
          </w:p>
        </w:tc>
        <w:tc>
          <w:tcPr>
            <w:tcW w:w="639" w:type="dxa"/>
          </w:tcPr>
          <w:p w14:paraId="09C8B0A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计量单位</w:t>
            </w:r>
          </w:p>
        </w:tc>
        <w:tc>
          <w:tcPr>
            <w:tcW w:w="639" w:type="dxa"/>
          </w:tcPr>
          <w:p w14:paraId="6C6AC6A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是否节能产品</w:t>
            </w:r>
          </w:p>
        </w:tc>
        <w:tc>
          <w:tcPr>
            <w:tcW w:w="639" w:type="dxa"/>
          </w:tcPr>
          <w:p w14:paraId="5BF96C6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是否环境标志产品</w:t>
            </w:r>
          </w:p>
        </w:tc>
        <w:tc>
          <w:tcPr>
            <w:tcW w:w="639" w:type="dxa"/>
          </w:tcPr>
          <w:p w14:paraId="02EFBEB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总价</w:t>
            </w:r>
          </w:p>
        </w:tc>
      </w:tr>
      <w:tr w14:paraId="72173E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3DFBCC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1</w:t>
            </w:r>
          </w:p>
        </w:tc>
        <w:tc>
          <w:tcPr>
            <w:tcW w:w="639" w:type="dxa"/>
          </w:tcPr>
          <w:p w14:paraId="2C6583F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2027-2029年乌龙江公园淮安大桥至湾边大桥段（不含沙滩公园）绿化养护服务项目</w:t>
            </w:r>
          </w:p>
        </w:tc>
        <w:tc>
          <w:tcPr>
            <w:tcW w:w="639" w:type="dxa"/>
          </w:tcPr>
          <w:p w14:paraId="490E469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{供应商响应}</w:t>
            </w:r>
          </w:p>
        </w:tc>
        <w:tc>
          <w:tcPr>
            <w:tcW w:w="639" w:type="dxa"/>
          </w:tcPr>
          <w:p w14:paraId="095BA3F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{供应商响应}</w:t>
            </w:r>
          </w:p>
        </w:tc>
        <w:tc>
          <w:tcPr>
            <w:tcW w:w="639" w:type="dxa"/>
          </w:tcPr>
          <w:p w14:paraId="2A8D7E3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{供应商响应}</w:t>
            </w:r>
          </w:p>
        </w:tc>
        <w:tc>
          <w:tcPr>
            <w:tcW w:w="639" w:type="dxa"/>
          </w:tcPr>
          <w:p w14:paraId="6075D64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{供应商响应}</w:t>
            </w:r>
          </w:p>
        </w:tc>
        <w:tc>
          <w:tcPr>
            <w:tcW w:w="639" w:type="dxa"/>
          </w:tcPr>
          <w:p w14:paraId="1939ABD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11124000  元</w:t>
            </w:r>
          </w:p>
        </w:tc>
        <w:tc>
          <w:tcPr>
            <w:tcW w:w="639" w:type="dxa"/>
          </w:tcPr>
          <w:p w14:paraId="6A18AE8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{=总价/数量}  元</w:t>
            </w:r>
          </w:p>
        </w:tc>
        <w:tc>
          <w:tcPr>
            <w:tcW w:w="639" w:type="dxa"/>
          </w:tcPr>
          <w:p w14:paraId="1A4F4B8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3.0000</w:t>
            </w:r>
          </w:p>
        </w:tc>
        <w:tc>
          <w:tcPr>
            <w:tcW w:w="639" w:type="dxa"/>
          </w:tcPr>
          <w:p w14:paraId="1B54978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年</w:t>
            </w:r>
          </w:p>
        </w:tc>
        <w:tc>
          <w:tcPr>
            <w:tcW w:w="639" w:type="dxa"/>
          </w:tcPr>
          <w:p w14:paraId="160B93A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{供应商响应}</w:t>
            </w:r>
          </w:p>
        </w:tc>
        <w:tc>
          <w:tcPr>
            <w:tcW w:w="639" w:type="dxa"/>
          </w:tcPr>
          <w:p w14:paraId="529A44E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{供应商响应}</w:t>
            </w:r>
          </w:p>
        </w:tc>
        <w:tc>
          <w:tcPr>
            <w:tcW w:w="639" w:type="dxa"/>
          </w:tcPr>
          <w:p w14:paraId="1919B94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{供应商响应}  元</w:t>
            </w:r>
          </w:p>
        </w:tc>
      </w:tr>
    </w:tbl>
    <w:p w14:paraId="5B8C805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合计：</w:t>
      </w:r>
    </w:p>
    <w:p w14:paraId="4AFF533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备注：无</w:t>
      </w:r>
    </w:p>
    <w:p w14:paraId="5984EFF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时间：     年     月     日</w:t>
      </w:r>
    </w:p>
    <w:p w14:paraId="3E07783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签章：                     </w:t>
      </w:r>
    </w:p>
    <w:p w14:paraId="3FF3D3EF">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2968C1FC">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三、招标文件规定的价格扣除证明材料（若有）</w:t>
      </w:r>
    </w:p>
    <w:p w14:paraId="7E25D5A7">
      <w:pPr>
        <w:pStyle w:val="6"/>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三-1优先类节能产品、环境标志产品价格扣除证明材料（若有）</w:t>
      </w:r>
    </w:p>
    <w:p w14:paraId="39752619">
      <w:pPr>
        <w:pStyle w:val="6"/>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三-1-①优先类节能产品、环境标志产品统计表（价格扣除适用，若有）</w:t>
      </w:r>
    </w:p>
    <w:p w14:paraId="379C5B0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项目编号：</w:t>
      </w:r>
      <w:r>
        <w:rPr>
          <w:rFonts w:ascii="仿宋_GB2312" w:hAnsi="仿宋_GB2312" w:eastAsia="仿宋_GB2312" w:cs="仿宋_GB2312"/>
          <w:color w:val="000000" w:themeColor="text1"/>
          <w:u w:val="single"/>
          <w14:textFill>
            <w14:solidFill>
              <w14:schemeClr w14:val="tx1"/>
            </w14:solidFill>
          </w14:textFill>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4B1AD7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F24E651">
            <w:pPr>
              <w:rPr>
                <w:color w:val="000000" w:themeColor="text1"/>
                <w14:textFill>
                  <w14:solidFill>
                    <w14:schemeClr w14:val="tx1"/>
                  </w14:solidFill>
                </w14:textFill>
              </w:rPr>
            </w:pPr>
          </w:p>
        </w:tc>
        <w:tc>
          <w:tcPr>
            <w:tcW w:w="7122" w:type="dxa"/>
            <w:gridSpan w:val="4"/>
          </w:tcPr>
          <w:p w14:paraId="1630D5D3">
            <w:pPr>
              <w:pStyle w:val="6"/>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本采购包内属于节能、环境标志产品情况</w:t>
            </w:r>
          </w:p>
        </w:tc>
      </w:tr>
      <w:tr w14:paraId="257A51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4383E85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w:t>
            </w:r>
          </w:p>
        </w:tc>
        <w:tc>
          <w:tcPr>
            <w:tcW w:w="1187" w:type="dxa"/>
          </w:tcPr>
          <w:p w14:paraId="7230B6D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品目号</w:t>
            </w:r>
          </w:p>
        </w:tc>
        <w:tc>
          <w:tcPr>
            <w:tcW w:w="1187" w:type="dxa"/>
          </w:tcPr>
          <w:p w14:paraId="346A1F5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产品名称</w:t>
            </w:r>
          </w:p>
        </w:tc>
        <w:tc>
          <w:tcPr>
            <w:tcW w:w="1187" w:type="dxa"/>
          </w:tcPr>
          <w:p w14:paraId="2284D9A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认证种类</w:t>
            </w:r>
          </w:p>
        </w:tc>
      </w:tr>
      <w:tr w14:paraId="49E021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454517C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1187" w:type="dxa"/>
          </w:tcPr>
          <w:p w14:paraId="598EDE3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w:t>
            </w:r>
          </w:p>
        </w:tc>
        <w:tc>
          <w:tcPr>
            <w:tcW w:w="1187" w:type="dxa"/>
          </w:tcPr>
          <w:p w14:paraId="38AC9867">
            <w:pPr>
              <w:rPr>
                <w:color w:val="000000" w:themeColor="text1"/>
                <w14:textFill>
                  <w14:solidFill>
                    <w14:schemeClr w14:val="tx1"/>
                  </w14:solidFill>
                </w14:textFill>
              </w:rPr>
            </w:pPr>
          </w:p>
        </w:tc>
        <w:tc>
          <w:tcPr>
            <w:tcW w:w="1187" w:type="dxa"/>
          </w:tcPr>
          <w:p w14:paraId="7D87DDC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供应商自行填写种类，并上传证明附件以便评审查看</w:t>
            </w:r>
          </w:p>
        </w:tc>
      </w:tr>
      <w:tr w14:paraId="0B51B2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3535B065">
            <w:pPr>
              <w:rPr>
                <w:color w:val="000000" w:themeColor="text1"/>
                <w14:textFill>
                  <w14:solidFill>
                    <w14:schemeClr w14:val="tx1"/>
                  </w14:solidFill>
                </w14:textFill>
              </w:rPr>
            </w:pPr>
          </w:p>
        </w:tc>
        <w:tc>
          <w:tcPr>
            <w:tcW w:w="1187" w:type="dxa"/>
          </w:tcPr>
          <w:p w14:paraId="1F47182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p w14:paraId="56B74988">
            <w:pPr>
              <w:pStyle w:val="6"/>
              <w:jc w:val="left"/>
              <w:rPr>
                <w:color w:val="000000" w:themeColor="text1"/>
                <w14:textFill>
                  <w14:solidFill>
                    <w14:schemeClr w14:val="tx1"/>
                  </w14:solidFill>
                </w14:textFill>
              </w:rPr>
            </w:pPr>
          </w:p>
        </w:tc>
        <w:tc>
          <w:tcPr>
            <w:tcW w:w="1187" w:type="dxa"/>
          </w:tcPr>
          <w:p w14:paraId="42C239CC">
            <w:pPr>
              <w:rPr>
                <w:color w:val="000000" w:themeColor="text1"/>
                <w14:textFill>
                  <w14:solidFill>
                    <w14:schemeClr w14:val="tx1"/>
                  </w14:solidFill>
                </w14:textFill>
              </w:rPr>
            </w:pPr>
          </w:p>
        </w:tc>
        <w:tc>
          <w:tcPr>
            <w:tcW w:w="1187" w:type="dxa"/>
          </w:tcPr>
          <w:p w14:paraId="359A3AA5">
            <w:pPr>
              <w:rPr>
                <w:color w:val="000000" w:themeColor="text1"/>
                <w14:textFill>
                  <w14:solidFill>
                    <w14:schemeClr w14:val="tx1"/>
                  </w14:solidFill>
                </w14:textFill>
              </w:rPr>
            </w:pPr>
          </w:p>
        </w:tc>
      </w:tr>
      <w:tr w14:paraId="603DF0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26D06D95">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备注</w:t>
            </w:r>
          </w:p>
        </w:tc>
        <w:tc>
          <w:tcPr>
            <w:tcW w:w="3561" w:type="dxa"/>
            <w:gridSpan w:val="3"/>
          </w:tcPr>
          <w:p w14:paraId="3B548E01">
            <w:pPr>
              <w:pStyle w:val="6"/>
              <w:jc w:val="left"/>
              <w:rPr>
                <w:color w:val="000000" w:themeColor="text1"/>
                <w14:textFill>
                  <w14:solidFill>
                    <w14:schemeClr w14:val="tx1"/>
                  </w14:solidFill>
                </w14:textFill>
              </w:rPr>
            </w:pPr>
          </w:p>
        </w:tc>
      </w:tr>
    </w:tbl>
    <w:p w14:paraId="698C94E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5FD3EED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1、对节能、环境标志产品计算价格扣除时，只依据电子投标（响应）文件“投标（响应）报价明细表”以及“优先类节能产品、环境标志产品证明材料（价格扣除适用，若有）。</w:t>
      </w:r>
    </w:p>
    <w:p w14:paraId="061B1873">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2、本表以采购包为单位，不同采购包请分别填写；同一采购包请按照其品目号顺序分别填写。</w:t>
      </w:r>
    </w:p>
    <w:p w14:paraId="3BE8CA6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3、具体统计、计算：</w:t>
      </w:r>
    </w:p>
    <w:p w14:paraId="7861FA5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3.1若同一采购包内的单个或多个货物取得或同时取得节能、环境标志产品等两项或多项认证的，均按照单个货物对应一项认证的原则统计、计算1次。</w:t>
      </w:r>
    </w:p>
    <w:p w14:paraId="61A6C4F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3.2计算结果若除不尽，可四舍五入保留到小数点后两位。</w:t>
      </w:r>
    </w:p>
    <w:p w14:paraId="6AEC4F6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3.3投标人(供应商)按照采购文件要求认真统计、计算。</w:t>
      </w:r>
    </w:p>
    <w:p w14:paraId="5379D6B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3.4若无节能、环境标志产品，不填写本表。</w:t>
      </w:r>
    </w:p>
    <w:p w14:paraId="185A3F8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3.5强制类节能产品不享受价格扣除。</w:t>
      </w:r>
    </w:p>
    <w:p w14:paraId="427907A4">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571BD750">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4A6A069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14DC37B4">
      <w:pPr>
        <w:pStyle w:val="6"/>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三-1-②优先类节能产品、环境标志产品证明材料（价格扣除适用，若有）</w:t>
      </w:r>
    </w:p>
    <w:p w14:paraId="0181C2E0">
      <w:pPr>
        <w:pStyle w:val="6"/>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三-2小型、微型企业产品等价格扣除证明材料（若有）</w:t>
      </w:r>
    </w:p>
    <w:p w14:paraId="414156EE">
      <w:pPr>
        <w:pStyle w:val="6"/>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三-2-①中小企业声明函（价格扣除适用，若有）</w:t>
      </w:r>
    </w:p>
    <w:p w14:paraId="03C43E14">
      <w:pPr>
        <w:pStyle w:val="6"/>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中小企业声明函（货物）</w:t>
      </w:r>
    </w:p>
    <w:p w14:paraId="5C525E8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本公司（联合体）郑重声明，根据《政府采购促进中小企业发展管理办法》（财库﹝2020﹞46 号）的规定，本公司（联合体）参加</w:t>
      </w:r>
      <w:r>
        <w:rPr>
          <w:rFonts w:ascii="仿宋_GB2312" w:hAnsi="仿宋_GB2312" w:eastAsia="仿宋_GB2312" w:cs="仿宋_GB2312"/>
          <w:color w:val="000000" w:themeColor="text1"/>
          <w:u w:val="single"/>
          <w14:textFill>
            <w14:solidFill>
              <w14:schemeClr w14:val="tx1"/>
            </w14:solidFill>
          </w14:textFill>
        </w:rPr>
        <w:t>（单位名称）</w:t>
      </w:r>
      <w:r>
        <w:rPr>
          <w:rFonts w:ascii="仿宋_GB2312" w:hAnsi="仿宋_GB2312" w:eastAsia="仿宋_GB2312" w:cs="仿宋_GB2312"/>
          <w:color w:val="000000" w:themeColor="text1"/>
          <w14:textFill>
            <w14:solidFill>
              <w14:schemeClr w14:val="tx1"/>
            </w14:solidFill>
          </w14:textFill>
        </w:rPr>
        <w:t>的</w:t>
      </w:r>
      <w:r>
        <w:rPr>
          <w:rFonts w:ascii="仿宋_GB2312" w:hAnsi="仿宋_GB2312" w:eastAsia="仿宋_GB2312" w:cs="仿宋_GB2312"/>
          <w:color w:val="000000" w:themeColor="text1"/>
          <w:u w:val="single"/>
          <w14:textFill>
            <w14:solidFill>
              <w14:schemeClr w14:val="tx1"/>
            </w14:solidFill>
          </w14:textFill>
        </w:rPr>
        <w:t>（项目名称）</w:t>
      </w:r>
      <w:r>
        <w:rPr>
          <w:rFonts w:ascii="仿宋_GB2312" w:hAnsi="仿宋_GB2312" w:eastAsia="仿宋_GB2312" w:cs="仿宋_GB2312"/>
          <w:color w:val="000000" w:themeColor="text1"/>
          <w14:textFill>
            <w14:solidFill>
              <w14:schemeClr w14:val="tx1"/>
            </w14:solidFill>
          </w14:textFill>
        </w:rPr>
        <w:t>采购活动，提供的货物全部由符合政策要求的中小企业制造。相关企业（含联合体中的中小企业、签订分包意向协议的中小企业）的具体情况如下：</w:t>
      </w:r>
    </w:p>
    <w:p w14:paraId="0CB2EA9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w:t>
      </w:r>
      <w:r>
        <w:rPr>
          <w:rFonts w:ascii="仿宋_GB2312" w:hAnsi="仿宋_GB2312" w:eastAsia="仿宋_GB2312" w:cs="仿宋_GB2312"/>
          <w:color w:val="000000" w:themeColor="text1"/>
          <w:u w:val="single"/>
          <w14:textFill>
            <w14:solidFill>
              <w14:schemeClr w14:val="tx1"/>
            </w14:solidFill>
          </w14:textFill>
        </w:rPr>
        <w:t xml:space="preserve"> （标的名称） </w:t>
      </w:r>
      <w:r>
        <w:rPr>
          <w:rFonts w:ascii="仿宋_GB2312" w:hAnsi="仿宋_GB2312" w:eastAsia="仿宋_GB2312" w:cs="仿宋_GB2312"/>
          <w:color w:val="000000" w:themeColor="text1"/>
          <w14:textFill>
            <w14:solidFill>
              <w14:schemeClr w14:val="tx1"/>
            </w14:solidFill>
          </w14:textFill>
        </w:rPr>
        <w:t>，属于</w:t>
      </w:r>
      <w:r>
        <w:rPr>
          <w:rFonts w:ascii="仿宋_GB2312" w:hAnsi="仿宋_GB2312" w:eastAsia="仿宋_GB2312" w:cs="仿宋_GB2312"/>
          <w:color w:val="000000" w:themeColor="text1"/>
          <w:u w:val="single"/>
          <w14:textFill>
            <w14:solidFill>
              <w14:schemeClr w14:val="tx1"/>
            </w14:solidFill>
          </w14:textFill>
        </w:rPr>
        <w:t>（采购文件中明确的所属行业）</w:t>
      </w:r>
      <w:r>
        <w:rPr>
          <w:rFonts w:ascii="仿宋_GB2312" w:hAnsi="仿宋_GB2312" w:eastAsia="仿宋_GB2312" w:cs="仿宋_GB2312"/>
          <w:color w:val="000000" w:themeColor="text1"/>
          <w14:textFill>
            <w14:solidFill>
              <w14:schemeClr w14:val="tx1"/>
            </w14:solidFill>
          </w14:textFill>
        </w:rPr>
        <w:t>行业；制造商为</w:t>
      </w:r>
      <w:r>
        <w:rPr>
          <w:rFonts w:ascii="仿宋_GB2312" w:hAnsi="仿宋_GB2312" w:eastAsia="仿宋_GB2312" w:cs="仿宋_GB2312"/>
          <w:color w:val="000000" w:themeColor="text1"/>
          <w:u w:val="single"/>
          <w14:textFill>
            <w14:solidFill>
              <w14:schemeClr w14:val="tx1"/>
            </w14:solidFill>
          </w14:textFill>
        </w:rPr>
        <w:t>（企业名称）</w:t>
      </w:r>
      <w:r>
        <w:rPr>
          <w:rFonts w:ascii="仿宋_GB2312" w:hAnsi="仿宋_GB2312" w:eastAsia="仿宋_GB2312" w:cs="仿宋_GB2312"/>
          <w:color w:val="000000" w:themeColor="text1"/>
          <w14:textFill>
            <w14:solidFill>
              <w14:schemeClr w14:val="tx1"/>
            </w14:solidFill>
          </w14:textFill>
        </w:rPr>
        <w:t>，从业人员</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人，营业收入为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万元，资产总额为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万元</w:t>
      </w:r>
      <w:r>
        <w:rPr>
          <w:rFonts w:ascii="仿宋_GB2312" w:hAnsi="仿宋_GB2312" w:eastAsia="仿宋_GB2312" w:cs="仿宋_GB2312"/>
          <w:color w:val="000000" w:themeColor="text1"/>
          <w:sz w:val="21"/>
          <w:vertAlign w:val="superscript"/>
          <w14:textFill>
            <w14:solidFill>
              <w14:schemeClr w14:val="tx1"/>
            </w14:solidFill>
          </w14:textFill>
        </w:rPr>
        <w:t>1</w:t>
      </w:r>
      <w:r>
        <w:rPr>
          <w:rFonts w:ascii="仿宋_GB2312" w:hAnsi="仿宋_GB2312" w:eastAsia="仿宋_GB2312" w:cs="仿宋_GB2312"/>
          <w:color w:val="000000" w:themeColor="text1"/>
          <w14:textFill>
            <w14:solidFill>
              <w14:schemeClr w14:val="tx1"/>
            </w14:solidFill>
          </w14:textFill>
        </w:rPr>
        <w:t>，属于</w:t>
      </w:r>
      <w:r>
        <w:rPr>
          <w:rFonts w:ascii="仿宋_GB2312" w:hAnsi="仿宋_GB2312" w:eastAsia="仿宋_GB2312" w:cs="仿宋_GB2312"/>
          <w:color w:val="000000" w:themeColor="text1"/>
          <w:u w:val="single"/>
          <w14:textFill>
            <w14:solidFill>
              <w14:schemeClr w14:val="tx1"/>
            </w14:solidFill>
          </w14:textFill>
        </w:rPr>
        <w:t>（中型企业、小型企业、微型企业）</w:t>
      </w:r>
      <w:r>
        <w:rPr>
          <w:rFonts w:ascii="仿宋_GB2312" w:hAnsi="仿宋_GB2312" w:eastAsia="仿宋_GB2312" w:cs="仿宋_GB2312"/>
          <w:color w:val="000000" w:themeColor="text1"/>
          <w14:textFill>
            <w14:solidFill>
              <w14:schemeClr w14:val="tx1"/>
            </w14:solidFill>
          </w14:textFill>
        </w:rPr>
        <w:t>；</w:t>
      </w:r>
    </w:p>
    <w:p w14:paraId="415602D8">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w:t>
      </w:r>
      <w:r>
        <w:rPr>
          <w:rFonts w:ascii="仿宋_GB2312" w:hAnsi="仿宋_GB2312" w:eastAsia="仿宋_GB2312" w:cs="仿宋_GB2312"/>
          <w:color w:val="000000" w:themeColor="text1"/>
          <w:u w:val="single"/>
          <w14:textFill>
            <w14:solidFill>
              <w14:schemeClr w14:val="tx1"/>
            </w14:solidFill>
          </w14:textFill>
        </w:rPr>
        <w:t xml:space="preserve"> （标的名称） </w:t>
      </w:r>
      <w:r>
        <w:rPr>
          <w:rFonts w:ascii="仿宋_GB2312" w:hAnsi="仿宋_GB2312" w:eastAsia="仿宋_GB2312" w:cs="仿宋_GB2312"/>
          <w:color w:val="000000" w:themeColor="text1"/>
          <w14:textFill>
            <w14:solidFill>
              <w14:schemeClr w14:val="tx1"/>
            </w14:solidFill>
          </w14:textFill>
        </w:rPr>
        <w:t>，属于</w:t>
      </w:r>
      <w:r>
        <w:rPr>
          <w:rFonts w:ascii="仿宋_GB2312" w:hAnsi="仿宋_GB2312" w:eastAsia="仿宋_GB2312" w:cs="仿宋_GB2312"/>
          <w:color w:val="000000" w:themeColor="text1"/>
          <w:u w:val="single"/>
          <w14:textFill>
            <w14:solidFill>
              <w14:schemeClr w14:val="tx1"/>
            </w14:solidFill>
          </w14:textFill>
        </w:rPr>
        <w:t>（采购文件中明确的所属行业）</w:t>
      </w:r>
      <w:r>
        <w:rPr>
          <w:rFonts w:ascii="仿宋_GB2312" w:hAnsi="仿宋_GB2312" w:eastAsia="仿宋_GB2312" w:cs="仿宋_GB2312"/>
          <w:color w:val="000000" w:themeColor="text1"/>
          <w14:textFill>
            <w14:solidFill>
              <w14:schemeClr w14:val="tx1"/>
            </w14:solidFill>
          </w14:textFill>
        </w:rPr>
        <w:t>行业；制造商为</w:t>
      </w:r>
      <w:r>
        <w:rPr>
          <w:rFonts w:ascii="仿宋_GB2312" w:hAnsi="仿宋_GB2312" w:eastAsia="仿宋_GB2312" w:cs="仿宋_GB2312"/>
          <w:color w:val="000000" w:themeColor="text1"/>
          <w:u w:val="single"/>
          <w14:textFill>
            <w14:solidFill>
              <w14:schemeClr w14:val="tx1"/>
            </w14:solidFill>
          </w14:textFill>
        </w:rPr>
        <w:t>（企业名称）</w:t>
      </w:r>
      <w:r>
        <w:rPr>
          <w:rFonts w:ascii="仿宋_GB2312" w:hAnsi="仿宋_GB2312" w:eastAsia="仿宋_GB2312" w:cs="仿宋_GB2312"/>
          <w:color w:val="000000" w:themeColor="text1"/>
          <w14:textFill>
            <w14:solidFill>
              <w14:schemeClr w14:val="tx1"/>
            </w14:solidFill>
          </w14:textFill>
        </w:rPr>
        <w:t>，从业人员</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人，营业收入为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万元，资产总额为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万元，属于</w:t>
      </w:r>
      <w:r>
        <w:rPr>
          <w:rFonts w:ascii="仿宋_GB2312" w:hAnsi="仿宋_GB2312" w:eastAsia="仿宋_GB2312" w:cs="仿宋_GB2312"/>
          <w:color w:val="000000" w:themeColor="text1"/>
          <w:u w:val="single"/>
          <w14:textFill>
            <w14:solidFill>
              <w14:schemeClr w14:val="tx1"/>
            </w14:solidFill>
          </w14:textFill>
        </w:rPr>
        <w:t>（中型企业、小型企业、微型企业）</w:t>
      </w:r>
      <w:r>
        <w:rPr>
          <w:rFonts w:ascii="仿宋_GB2312" w:hAnsi="仿宋_GB2312" w:eastAsia="仿宋_GB2312" w:cs="仿宋_GB2312"/>
          <w:color w:val="000000" w:themeColor="text1"/>
          <w14:textFill>
            <w14:solidFill>
              <w14:schemeClr w14:val="tx1"/>
            </w14:solidFill>
          </w14:textFill>
        </w:rPr>
        <w:t>；</w:t>
      </w:r>
    </w:p>
    <w:p w14:paraId="254BFBD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p w14:paraId="2C32B62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以上企业，不属于大企业的分支机构，不存在控股股东为大企业的情形，也不存在与大企业的负责人为同一人的情形。</w:t>
      </w:r>
    </w:p>
    <w:p w14:paraId="22507A5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本企业对上述声明内容的真实性负责。如有虚假，将依法承担相应责任。</w:t>
      </w:r>
    </w:p>
    <w:p w14:paraId="564BE5AF">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682EC6AA">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3AA8DDE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686E771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1、从业人员、营业收入、资产总额填报上一年度数据，无上一年度数据的新成立企业可不填报。</w:t>
      </w:r>
    </w:p>
    <w:p w14:paraId="7260228B">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71D59F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6F4A6A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7B63F81F">
      <w:pPr>
        <w:pStyle w:val="6"/>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中小企业声明函（工程、服务）</w:t>
      </w:r>
    </w:p>
    <w:p w14:paraId="3605AC6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本公司（联合体）郑重声明，根据《政府采购促进中小企业发展管理办法》（财库﹝2020﹞46 号）的规定，本公司（联合体）参加</w:t>
      </w:r>
      <w:r>
        <w:rPr>
          <w:rFonts w:ascii="仿宋_GB2312" w:hAnsi="仿宋_GB2312" w:eastAsia="仿宋_GB2312" w:cs="仿宋_GB2312"/>
          <w:color w:val="000000" w:themeColor="text1"/>
          <w:u w:val="single"/>
          <w14:textFill>
            <w14:solidFill>
              <w14:schemeClr w14:val="tx1"/>
            </w14:solidFill>
          </w14:textFill>
        </w:rPr>
        <w:t>（单位名称）</w:t>
      </w:r>
      <w:r>
        <w:rPr>
          <w:rFonts w:ascii="仿宋_GB2312" w:hAnsi="仿宋_GB2312" w:eastAsia="仿宋_GB2312" w:cs="仿宋_GB2312"/>
          <w:color w:val="000000" w:themeColor="text1"/>
          <w14:textFill>
            <w14:solidFill>
              <w14:schemeClr w14:val="tx1"/>
            </w14:solidFill>
          </w14:textFill>
        </w:rPr>
        <w:t>的</w:t>
      </w:r>
      <w:r>
        <w:rPr>
          <w:rFonts w:ascii="仿宋_GB2312" w:hAnsi="仿宋_GB2312" w:eastAsia="仿宋_GB2312" w:cs="仿宋_GB2312"/>
          <w:color w:val="000000" w:themeColor="text1"/>
          <w:u w:val="single"/>
          <w14:textFill>
            <w14:solidFill>
              <w14:schemeClr w14:val="tx1"/>
            </w14:solidFill>
          </w14:textFill>
        </w:rPr>
        <w:t>（项目名称）</w:t>
      </w:r>
      <w:r>
        <w:rPr>
          <w:rFonts w:ascii="仿宋_GB2312" w:hAnsi="仿宋_GB2312" w:eastAsia="仿宋_GB2312" w:cs="仿宋_GB2312"/>
          <w:color w:val="000000" w:themeColor="text1"/>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6F29E03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w:t>
      </w:r>
      <w:r>
        <w:rPr>
          <w:rFonts w:ascii="仿宋_GB2312" w:hAnsi="仿宋_GB2312" w:eastAsia="仿宋_GB2312" w:cs="仿宋_GB2312"/>
          <w:color w:val="000000" w:themeColor="text1"/>
          <w:u w:val="single"/>
          <w14:textFill>
            <w14:solidFill>
              <w14:schemeClr w14:val="tx1"/>
            </w14:solidFill>
          </w14:textFill>
        </w:rPr>
        <w:t>（标的名称）</w:t>
      </w:r>
      <w:r>
        <w:rPr>
          <w:rFonts w:ascii="仿宋_GB2312" w:hAnsi="仿宋_GB2312" w:eastAsia="仿宋_GB2312" w:cs="仿宋_GB2312"/>
          <w:color w:val="000000" w:themeColor="text1"/>
          <w14:textFill>
            <w14:solidFill>
              <w14:schemeClr w14:val="tx1"/>
            </w14:solidFill>
          </w14:textFill>
        </w:rPr>
        <w:t>，属于</w:t>
      </w:r>
      <w:r>
        <w:rPr>
          <w:rFonts w:ascii="仿宋_GB2312" w:hAnsi="仿宋_GB2312" w:eastAsia="仿宋_GB2312" w:cs="仿宋_GB2312"/>
          <w:color w:val="000000" w:themeColor="text1"/>
          <w:u w:val="single"/>
          <w14:textFill>
            <w14:solidFill>
              <w14:schemeClr w14:val="tx1"/>
            </w14:solidFill>
          </w14:textFill>
        </w:rPr>
        <w:t>（采购文件中明确的所属行业）</w:t>
      </w:r>
      <w:r>
        <w:rPr>
          <w:rFonts w:ascii="仿宋_GB2312" w:hAnsi="仿宋_GB2312" w:eastAsia="仿宋_GB2312" w:cs="仿宋_GB2312"/>
          <w:color w:val="000000" w:themeColor="text1"/>
          <w14:textFill>
            <w14:solidFill>
              <w14:schemeClr w14:val="tx1"/>
            </w14:solidFill>
          </w14:textFill>
        </w:rPr>
        <w:t>；承建（承接）企业为</w:t>
      </w:r>
      <w:r>
        <w:rPr>
          <w:rFonts w:ascii="仿宋_GB2312" w:hAnsi="仿宋_GB2312" w:eastAsia="仿宋_GB2312" w:cs="仿宋_GB2312"/>
          <w:color w:val="000000" w:themeColor="text1"/>
          <w:u w:val="single"/>
          <w14:textFill>
            <w14:solidFill>
              <w14:schemeClr w14:val="tx1"/>
            </w14:solidFill>
          </w14:textFill>
        </w:rPr>
        <w:t>（企业名称）</w:t>
      </w:r>
      <w:r>
        <w:rPr>
          <w:rFonts w:ascii="仿宋_GB2312" w:hAnsi="仿宋_GB2312" w:eastAsia="仿宋_GB2312" w:cs="仿宋_GB2312"/>
          <w:color w:val="000000" w:themeColor="text1"/>
          <w14:textFill>
            <w14:solidFill>
              <w14:schemeClr w14:val="tx1"/>
            </w14:solidFill>
          </w14:textFill>
        </w:rPr>
        <w:t>，从业人员</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人，营业收入为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万元，资产总额为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万元</w:t>
      </w:r>
      <w:r>
        <w:rPr>
          <w:rFonts w:ascii="仿宋_GB2312" w:hAnsi="仿宋_GB2312" w:eastAsia="仿宋_GB2312" w:cs="仿宋_GB2312"/>
          <w:color w:val="000000" w:themeColor="text1"/>
          <w:sz w:val="21"/>
          <w:vertAlign w:val="superscript"/>
          <w14:textFill>
            <w14:solidFill>
              <w14:schemeClr w14:val="tx1"/>
            </w14:solidFill>
          </w14:textFill>
        </w:rPr>
        <w:t>1</w:t>
      </w:r>
      <w:r>
        <w:rPr>
          <w:rFonts w:ascii="仿宋_GB2312" w:hAnsi="仿宋_GB2312" w:eastAsia="仿宋_GB2312" w:cs="仿宋_GB2312"/>
          <w:color w:val="000000" w:themeColor="text1"/>
          <w14:textFill>
            <w14:solidFill>
              <w14:schemeClr w14:val="tx1"/>
            </w14:solidFill>
          </w14:textFill>
        </w:rPr>
        <w:t>，属于</w:t>
      </w:r>
      <w:r>
        <w:rPr>
          <w:rFonts w:ascii="仿宋_GB2312" w:hAnsi="仿宋_GB2312" w:eastAsia="仿宋_GB2312" w:cs="仿宋_GB2312"/>
          <w:color w:val="000000" w:themeColor="text1"/>
          <w:u w:val="single"/>
          <w14:textFill>
            <w14:solidFill>
              <w14:schemeClr w14:val="tx1"/>
            </w14:solidFill>
          </w14:textFill>
        </w:rPr>
        <w:t>（中型企业、小型企业、微型企业）</w:t>
      </w:r>
      <w:r>
        <w:rPr>
          <w:rFonts w:ascii="仿宋_GB2312" w:hAnsi="仿宋_GB2312" w:eastAsia="仿宋_GB2312" w:cs="仿宋_GB2312"/>
          <w:color w:val="000000" w:themeColor="text1"/>
          <w14:textFill>
            <w14:solidFill>
              <w14:schemeClr w14:val="tx1"/>
            </w14:solidFill>
          </w14:textFill>
        </w:rPr>
        <w:t>；</w:t>
      </w:r>
    </w:p>
    <w:p w14:paraId="112204E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w:t>
      </w:r>
      <w:r>
        <w:rPr>
          <w:rFonts w:ascii="仿宋_GB2312" w:hAnsi="仿宋_GB2312" w:eastAsia="仿宋_GB2312" w:cs="仿宋_GB2312"/>
          <w:color w:val="000000" w:themeColor="text1"/>
          <w:u w:val="single"/>
          <w14:textFill>
            <w14:solidFill>
              <w14:schemeClr w14:val="tx1"/>
            </w14:solidFill>
          </w14:textFill>
        </w:rPr>
        <w:t>（标的名称）</w:t>
      </w:r>
      <w:r>
        <w:rPr>
          <w:rFonts w:ascii="仿宋_GB2312" w:hAnsi="仿宋_GB2312" w:eastAsia="仿宋_GB2312" w:cs="仿宋_GB2312"/>
          <w:color w:val="000000" w:themeColor="text1"/>
          <w14:textFill>
            <w14:solidFill>
              <w14:schemeClr w14:val="tx1"/>
            </w14:solidFill>
          </w14:textFill>
        </w:rPr>
        <w:t>，属于</w:t>
      </w:r>
      <w:r>
        <w:rPr>
          <w:rFonts w:ascii="仿宋_GB2312" w:hAnsi="仿宋_GB2312" w:eastAsia="仿宋_GB2312" w:cs="仿宋_GB2312"/>
          <w:color w:val="000000" w:themeColor="text1"/>
          <w:u w:val="single"/>
          <w14:textFill>
            <w14:solidFill>
              <w14:schemeClr w14:val="tx1"/>
            </w14:solidFill>
          </w14:textFill>
        </w:rPr>
        <w:t>（采购文件中明确的所属行业）</w:t>
      </w:r>
      <w:r>
        <w:rPr>
          <w:rFonts w:ascii="仿宋_GB2312" w:hAnsi="仿宋_GB2312" w:eastAsia="仿宋_GB2312" w:cs="仿宋_GB2312"/>
          <w:color w:val="000000" w:themeColor="text1"/>
          <w14:textFill>
            <w14:solidFill>
              <w14:schemeClr w14:val="tx1"/>
            </w14:solidFill>
          </w14:textFill>
        </w:rPr>
        <w:t>；承建（承接）企业为</w:t>
      </w:r>
      <w:r>
        <w:rPr>
          <w:rFonts w:ascii="仿宋_GB2312" w:hAnsi="仿宋_GB2312" w:eastAsia="仿宋_GB2312" w:cs="仿宋_GB2312"/>
          <w:color w:val="000000" w:themeColor="text1"/>
          <w:u w:val="single"/>
          <w14:textFill>
            <w14:solidFill>
              <w14:schemeClr w14:val="tx1"/>
            </w14:solidFill>
          </w14:textFill>
        </w:rPr>
        <w:t>（企业名称）</w:t>
      </w:r>
      <w:r>
        <w:rPr>
          <w:rFonts w:ascii="仿宋_GB2312" w:hAnsi="仿宋_GB2312" w:eastAsia="仿宋_GB2312" w:cs="仿宋_GB2312"/>
          <w:color w:val="000000" w:themeColor="text1"/>
          <w14:textFill>
            <w14:solidFill>
              <w14:schemeClr w14:val="tx1"/>
            </w14:solidFill>
          </w14:textFill>
        </w:rPr>
        <w:t>，从业人员</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人，营业收入为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万元，资产总额为</w:t>
      </w:r>
      <w:r>
        <w:rPr>
          <w:rFonts w:ascii="仿宋_GB2312" w:hAnsi="仿宋_GB2312" w:eastAsia="仿宋_GB2312" w:cs="仿宋_GB2312"/>
          <w:color w:val="000000" w:themeColor="text1"/>
          <w:u w:val="single"/>
          <w14:textFill>
            <w14:solidFill>
              <w14:schemeClr w14:val="tx1"/>
            </w14:solidFill>
          </w14:textFill>
        </w:rPr>
        <w:t>　　　　　</w:t>
      </w:r>
      <w:r>
        <w:rPr>
          <w:rFonts w:ascii="仿宋_GB2312" w:hAnsi="仿宋_GB2312" w:eastAsia="仿宋_GB2312" w:cs="仿宋_GB2312"/>
          <w:color w:val="000000" w:themeColor="text1"/>
          <w14:textFill>
            <w14:solidFill>
              <w14:schemeClr w14:val="tx1"/>
            </w14:solidFill>
          </w14:textFill>
        </w:rPr>
        <w:t>万元，属于</w:t>
      </w:r>
      <w:r>
        <w:rPr>
          <w:rFonts w:ascii="仿宋_GB2312" w:hAnsi="仿宋_GB2312" w:eastAsia="仿宋_GB2312" w:cs="仿宋_GB2312"/>
          <w:color w:val="000000" w:themeColor="text1"/>
          <w:u w:val="single"/>
          <w14:textFill>
            <w14:solidFill>
              <w14:schemeClr w14:val="tx1"/>
            </w14:solidFill>
          </w14:textFill>
        </w:rPr>
        <w:t>（中型企业、小型企业、微型企业）</w:t>
      </w:r>
      <w:r>
        <w:rPr>
          <w:rFonts w:ascii="仿宋_GB2312" w:hAnsi="仿宋_GB2312" w:eastAsia="仿宋_GB2312" w:cs="仿宋_GB2312"/>
          <w:color w:val="000000" w:themeColor="text1"/>
          <w14:textFill>
            <w14:solidFill>
              <w14:schemeClr w14:val="tx1"/>
            </w14:solidFill>
          </w14:textFill>
        </w:rPr>
        <w:t>；</w:t>
      </w:r>
    </w:p>
    <w:p w14:paraId="4C6DE12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p w14:paraId="54423A6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以上企业，不属于大企业的分支机构，不存在控股股东为大企业的情形，也不存在与大企业的负责人为同一人的情形。</w:t>
      </w:r>
    </w:p>
    <w:p w14:paraId="6A3EE3A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本企业对上述声明内容的真实性负责。如有虚假，将依法承担相应责任。</w:t>
      </w:r>
    </w:p>
    <w:p w14:paraId="626F7B98">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146D1AAF">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77D2910B">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1DB34EC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1、从业人员、营业收入、资产总额填报上一年度数据，无上一年度数据的新成立企业可不填报。</w:t>
      </w:r>
    </w:p>
    <w:p w14:paraId="4D9254A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131800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7FF94E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7702D750">
      <w:pPr>
        <w:pStyle w:val="6"/>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三-2-②小型、微型企业等证明材料（价格扣除适用，若有）</w:t>
      </w:r>
    </w:p>
    <w:p w14:paraId="53F39637">
      <w:pPr>
        <w:pStyle w:val="6"/>
        <w:ind w:firstLine="480"/>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编制说明</w:t>
      </w:r>
    </w:p>
    <w:p w14:paraId="750169B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1、投标人为监狱企业的，根据其提供的由省级以上监狱管理局、戒毒管理局（含新疆生产建设兵团）出具的属于监狱企业的证明文件进行认定，监狱企业视同小型、微型企业。</w:t>
      </w:r>
    </w:p>
    <w:p w14:paraId="4F2926E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2、投标人为残疾人福利性单位的，根据其提供的《残疾人福利性单位声明函》（格式附后）进行认定，残疾人福利性单位视同小型、微型企业。残疾人福利性单位属于小型、微型企业的，不重复享受政策。</w:t>
      </w:r>
    </w:p>
    <w:p w14:paraId="5C8D6865">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附：</w:t>
      </w:r>
    </w:p>
    <w:p w14:paraId="6E24FC8F">
      <w:pPr>
        <w:pStyle w:val="6"/>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残疾人福利性单位声明函（价格扣除适用，若有）</w:t>
      </w:r>
    </w:p>
    <w:p w14:paraId="159862E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3E79F1E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3404B6E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）由本投标人承建的（填写“所投采购包、品目号”）工程</w:t>
      </w:r>
    </w:p>
    <w:p w14:paraId="4FDEF9AB">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）由本投标人承接的（填写“所投采购包、品目号”）服务；</w:t>
      </w:r>
    </w:p>
    <w:p w14:paraId="4F25C1D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本投标人对上述声明的真实性负责。如有虚假，将依法承担相应责任。</w:t>
      </w:r>
    </w:p>
    <w:p w14:paraId="2384893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备注：</w:t>
      </w:r>
    </w:p>
    <w:p w14:paraId="45906F7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1、请投标人按照实际情况编制填写本声明函，并在相应的（）中打“√”。</w:t>
      </w:r>
    </w:p>
    <w:p w14:paraId="2828A0DB">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2、若《残疾人福利性单位声明函》内容不真实，视为提供虚假材料。</w:t>
      </w:r>
    </w:p>
    <w:p w14:paraId="5A01C69E">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55EA06B2">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24E4BBA0">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6AEDB6E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附：</w:t>
      </w:r>
    </w:p>
    <w:p w14:paraId="77B6FEF9">
      <w:pPr>
        <w:pStyle w:val="6"/>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监狱企业证明材料</w:t>
      </w:r>
    </w:p>
    <w:p w14:paraId="27F2332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投标人为监狱企业，提供本单位制造的货物（承接的服务），并在电子投标文件中提供省级以上监狱管理局、戒毒管理局（含新疆生产建设兵团）出具的属于监狱企业的证明文件。</w:t>
      </w:r>
    </w:p>
    <w:p w14:paraId="246EE96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0F06247C">
      <w:pPr>
        <w:pStyle w:val="6"/>
        <w:jc w:val="center"/>
        <w:outlineLvl w:val="3"/>
        <w:rPr>
          <w:color w:val="000000" w:themeColor="text1"/>
          <w14:textFill>
            <w14:solidFill>
              <w14:schemeClr w14:val="tx1"/>
            </w14:solidFill>
          </w14:textFill>
        </w:rPr>
      </w:pPr>
      <w:r>
        <w:rPr>
          <w:rFonts w:ascii="仿宋_GB2312" w:hAnsi="仿宋_GB2312" w:eastAsia="仿宋_GB2312" w:cs="仿宋_GB2312"/>
          <w:b/>
          <w:color w:val="000000" w:themeColor="text1"/>
          <w:sz w:val="24"/>
          <w14:textFill>
            <w14:solidFill>
              <w14:schemeClr w14:val="tx1"/>
            </w14:solidFill>
          </w14:textFill>
        </w:rPr>
        <w:t>三-3招标文件规定的其他价格扣除证明材料（若有）</w:t>
      </w:r>
    </w:p>
    <w:p w14:paraId="520DBB24">
      <w:pPr>
        <w:pStyle w:val="6"/>
        <w:ind w:firstLine="480"/>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编制说明</w:t>
      </w:r>
    </w:p>
    <w:p w14:paraId="73633CA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若投标人可享受招标文件规定的除“节能（非强制类）、环境标志产品价格扣除”及“小型、微型企业产品等价格扣除”外的其他价格扣除优惠，则投标人应按照招标文件要求提供相应证明材料。</w:t>
      </w:r>
    </w:p>
    <w:p w14:paraId="6F595C06">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06E261B0">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封面格式(技术商务部分)</w:t>
      </w:r>
    </w:p>
    <w:p w14:paraId="1D6F9833">
      <w:pPr>
        <w:pStyle w:val="6"/>
        <w:jc w:val="center"/>
        <w:outlineLvl w:val="0"/>
        <w:rPr>
          <w:color w:val="000000" w:themeColor="text1"/>
          <w14:textFill>
            <w14:solidFill>
              <w14:schemeClr w14:val="tx1"/>
            </w14:solidFill>
          </w14:textFill>
        </w:rPr>
      </w:pPr>
      <w:r>
        <w:rPr>
          <w:rFonts w:ascii="仿宋_GB2312" w:hAnsi="仿宋_GB2312" w:eastAsia="仿宋_GB2312" w:cs="仿宋_GB2312"/>
          <w:b/>
          <w:color w:val="000000" w:themeColor="text1"/>
          <w:sz w:val="48"/>
          <w14:textFill>
            <w14:solidFill>
              <w14:schemeClr w14:val="tx1"/>
            </w14:solidFill>
          </w14:textFill>
        </w:rPr>
        <w:t>福建省政府采购投标文件</w:t>
      </w:r>
    </w:p>
    <w:p w14:paraId="05AADC49">
      <w:pPr>
        <w:pStyle w:val="6"/>
        <w:jc w:val="center"/>
        <w:outlineLvl w:val="0"/>
        <w:rPr>
          <w:color w:val="000000" w:themeColor="text1"/>
          <w14:textFill>
            <w14:solidFill>
              <w14:schemeClr w14:val="tx1"/>
            </w14:solidFill>
          </w14:textFill>
        </w:rPr>
      </w:pPr>
      <w:r>
        <w:rPr>
          <w:rFonts w:ascii="仿宋_GB2312" w:hAnsi="仿宋_GB2312" w:eastAsia="仿宋_GB2312" w:cs="仿宋_GB2312"/>
          <w:b/>
          <w:color w:val="000000" w:themeColor="text1"/>
          <w:sz w:val="48"/>
          <w14:textFill>
            <w14:solidFill>
              <w14:schemeClr w14:val="tx1"/>
            </w14:solidFill>
          </w14:textFill>
        </w:rPr>
        <w:t>（技术商务部分）</w:t>
      </w:r>
      <w:r>
        <w:rPr>
          <w:color w:val="000000" w:themeColor="text1"/>
          <w14:textFill>
            <w14:solidFill>
              <w14:schemeClr w14:val="tx1"/>
            </w14:solidFill>
          </w14:textFill>
        </w:rPr>
        <w:br w:type="textWrapping"/>
      </w:r>
      <w:r>
        <w:rPr>
          <w:color w:val="000000" w:themeColor="text1"/>
          <w14:textFill>
            <w14:solidFill>
              <w14:schemeClr w14:val="tx1"/>
            </w14:solidFill>
          </w14:textFill>
        </w:rPr>
        <w:br w:type="textWrapping"/>
      </w:r>
    </w:p>
    <w:p w14:paraId="18F3896C">
      <w:pPr>
        <w:pStyle w:val="6"/>
        <w:jc w:val="center"/>
        <w:outlineLvl w:val="1"/>
        <w:rPr>
          <w:color w:val="000000" w:themeColor="text1"/>
          <w14:textFill>
            <w14:solidFill>
              <w14:schemeClr w14:val="tx1"/>
            </w14:solidFill>
          </w14:textFill>
        </w:rPr>
      </w:pPr>
      <w:r>
        <w:rPr>
          <w:rFonts w:ascii="仿宋_GB2312" w:hAnsi="仿宋_GB2312" w:eastAsia="仿宋_GB2312" w:cs="仿宋_GB2312"/>
          <w:b/>
          <w:color w:val="000000" w:themeColor="text1"/>
          <w:sz w:val="36"/>
          <w14:textFill>
            <w14:solidFill>
              <w14:schemeClr w14:val="tx1"/>
            </w14:solidFill>
          </w14:textFill>
        </w:rPr>
        <w:t>（填写正本或副本）</w:t>
      </w:r>
      <w:r>
        <w:rPr>
          <w:color w:val="000000" w:themeColor="text1"/>
          <w14:textFill>
            <w14:solidFill>
              <w14:schemeClr w14:val="tx1"/>
            </w14:solidFill>
          </w14:textFill>
        </w:rPr>
        <w:br w:type="textWrapping"/>
      </w:r>
      <w:r>
        <w:rPr>
          <w:color w:val="000000" w:themeColor="text1"/>
          <w14:textFill>
            <w14:solidFill>
              <w14:schemeClr w14:val="tx1"/>
            </w14:solidFill>
          </w14:textFill>
        </w:rPr>
        <w:br w:type="textWrapping"/>
      </w:r>
      <w:r>
        <w:rPr>
          <w:color w:val="000000" w:themeColor="text1"/>
          <w14:textFill>
            <w14:solidFill>
              <w14:schemeClr w14:val="tx1"/>
            </w14:solidFill>
          </w14:textFill>
        </w:rPr>
        <w:br w:type="textWrapping"/>
      </w:r>
      <w:r>
        <w:rPr>
          <w:color w:val="000000" w:themeColor="text1"/>
          <w14:textFill>
            <w14:solidFill>
              <w14:schemeClr w14:val="tx1"/>
            </w14:solidFill>
          </w14:textFill>
        </w:rPr>
        <w:br w:type="textWrapping"/>
      </w:r>
    </w:p>
    <w:p w14:paraId="62FBF725">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项目名称：（由投标人填写）</w:t>
      </w:r>
    </w:p>
    <w:p w14:paraId="47AF8334">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备案编号：（由投标人填写）</w:t>
      </w:r>
    </w:p>
    <w:p w14:paraId="0B829A86">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项目编号：（由投标人填写）</w:t>
      </w:r>
    </w:p>
    <w:p w14:paraId="5A001E76">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所投采购包：（由投标人填写）</w:t>
      </w:r>
    </w:p>
    <w:p w14:paraId="6257D124">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投标人：（填写“全称”）</w:t>
      </w:r>
    </w:p>
    <w:p w14:paraId="0A36BCB2">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（由投标人填写）年（由投标人填写）月</w:t>
      </w:r>
    </w:p>
    <w:p w14:paraId="438B0DBE">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639BFCBE">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索引</w:t>
      </w:r>
    </w:p>
    <w:p w14:paraId="6E14CD24">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一、标的说明一览表</w:t>
      </w:r>
    </w:p>
    <w:p w14:paraId="2936561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二、技术和服务要求响应表</w:t>
      </w:r>
    </w:p>
    <w:p w14:paraId="5E27A9A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三、商务条件响应表</w:t>
      </w:r>
    </w:p>
    <w:p w14:paraId="0A94E3A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四、投标人提交的其他资料（若有）</w:t>
      </w:r>
    </w:p>
    <w:p w14:paraId="11474A4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459A2295">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技术商务部分中不得出现报价部分的全部或部分的投标报价信息（或组成资料），否则符合性审查不合格。</w:t>
      </w:r>
    </w:p>
    <w:p w14:paraId="323581AB">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4C62C989">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一、标的说明一览表</w:t>
      </w:r>
    </w:p>
    <w:p w14:paraId="784A2F5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项目编号：</w:t>
      </w:r>
      <w:r>
        <w:rPr>
          <w:rFonts w:ascii="仿宋_GB2312" w:hAnsi="仿宋_GB2312" w:eastAsia="仿宋_GB2312" w:cs="仿宋_GB2312"/>
          <w:color w:val="000000" w:themeColor="text1"/>
          <w:u w:val="single"/>
          <w14:textFill>
            <w14:solidFill>
              <w14:schemeClr w14:val="tx1"/>
            </w14:solidFill>
          </w14:textFill>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39E3DE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5DBA40A">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w:t>
            </w:r>
          </w:p>
        </w:tc>
        <w:tc>
          <w:tcPr>
            <w:tcW w:w="1187" w:type="dxa"/>
          </w:tcPr>
          <w:p w14:paraId="767062C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品目号</w:t>
            </w:r>
          </w:p>
        </w:tc>
        <w:tc>
          <w:tcPr>
            <w:tcW w:w="1187" w:type="dxa"/>
          </w:tcPr>
          <w:p w14:paraId="1F4C460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投标标的</w:t>
            </w:r>
          </w:p>
        </w:tc>
        <w:tc>
          <w:tcPr>
            <w:tcW w:w="1187" w:type="dxa"/>
          </w:tcPr>
          <w:p w14:paraId="2F5CD36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数量</w:t>
            </w:r>
          </w:p>
        </w:tc>
        <w:tc>
          <w:tcPr>
            <w:tcW w:w="1187" w:type="dxa"/>
          </w:tcPr>
          <w:p w14:paraId="7D2EF93B">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规格</w:t>
            </w:r>
          </w:p>
        </w:tc>
        <w:tc>
          <w:tcPr>
            <w:tcW w:w="1187" w:type="dxa"/>
          </w:tcPr>
          <w:p w14:paraId="7CE6AFEE">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来源地</w:t>
            </w:r>
          </w:p>
        </w:tc>
        <w:tc>
          <w:tcPr>
            <w:tcW w:w="1187" w:type="dxa"/>
          </w:tcPr>
          <w:p w14:paraId="0D9CC00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备注</w:t>
            </w:r>
          </w:p>
        </w:tc>
      </w:tr>
      <w:tr w14:paraId="1F2C64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15AA2AF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1187" w:type="dxa"/>
          </w:tcPr>
          <w:p w14:paraId="15530524">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w:t>
            </w:r>
          </w:p>
        </w:tc>
        <w:tc>
          <w:tcPr>
            <w:tcW w:w="1187" w:type="dxa"/>
          </w:tcPr>
          <w:p w14:paraId="488034A8">
            <w:pPr>
              <w:rPr>
                <w:color w:val="000000" w:themeColor="text1"/>
                <w14:textFill>
                  <w14:solidFill>
                    <w14:schemeClr w14:val="tx1"/>
                  </w14:solidFill>
                </w14:textFill>
              </w:rPr>
            </w:pPr>
          </w:p>
        </w:tc>
        <w:tc>
          <w:tcPr>
            <w:tcW w:w="1187" w:type="dxa"/>
          </w:tcPr>
          <w:p w14:paraId="6D6EA8C9">
            <w:pPr>
              <w:rPr>
                <w:color w:val="000000" w:themeColor="text1"/>
                <w14:textFill>
                  <w14:solidFill>
                    <w14:schemeClr w14:val="tx1"/>
                  </w14:solidFill>
                </w14:textFill>
              </w:rPr>
            </w:pPr>
          </w:p>
        </w:tc>
        <w:tc>
          <w:tcPr>
            <w:tcW w:w="1187" w:type="dxa"/>
          </w:tcPr>
          <w:p w14:paraId="37909ACE">
            <w:pPr>
              <w:rPr>
                <w:color w:val="000000" w:themeColor="text1"/>
                <w14:textFill>
                  <w14:solidFill>
                    <w14:schemeClr w14:val="tx1"/>
                  </w14:solidFill>
                </w14:textFill>
              </w:rPr>
            </w:pPr>
          </w:p>
        </w:tc>
        <w:tc>
          <w:tcPr>
            <w:tcW w:w="1187" w:type="dxa"/>
          </w:tcPr>
          <w:p w14:paraId="4F281577">
            <w:pPr>
              <w:rPr>
                <w:color w:val="000000" w:themeColor="text1"/>
                <w14:textFill>
                  <w14:solidFill>
                    <w14:schemeClr w14:val="tx1"/>
                  </w14:solidFill>
                </w14:textFill>
              </w:rPr>
            </w:pPr>
          </w:p>
        </w:tc>
      </w:tr>
      <w:tr w14:paraId="61DCD8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76F79C4D">
            <w:pPr>
              <w:rPr>
                <w:color w:val="000000" w:themeColor="text1"/>
                <w14:textFill>
                  <w14:solidFill>
                    <w14:schemeClr w14:val="tx1"/>
                  </w14:solidFill>
                </w14:textFill>
              </w:rPr>
            </w:pPr>
          </w:p>
        </w:tc>
        <w:tc>
          <w:tcPr>
            <w:tcW w:w="1187" w:type="dxa"/>
          </w:tcPr>
          <w:p w14:paraId="27B475A2">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1187" w:type="dxa"/>
          </w:tcPr>
          <w:p w14:paraId="7E45A00C">
            <w:pPr>
              <w:rPr>
                <w:color w:val="000000" w:themeColor="text1"/>
                <w14:textFill>
                  <w14:solidFill>
                    <w14:schemeClr w14:val="tx1"/>
                  </w14:solidFill>
                </w14:textFill>
              </w:rPr>
            </w:pPr>
          </w:p>
        </w:tc>
        <w:tc>
          <w:tcPr>
            <w:tcW w:w="1187" w:type="dxa"/>
          </w:tcPr>
          <w:p w14:paraId="0854CAB7">
            <w:pPr>
              <w:rPr>
                <w:color w:val="000000" w:themeColor="text1"/>
                <w14:textFill>
                  <w14:solidFill>
                    <w14:schemeClr w14:val="tx1"/>
                  </w14:solidFill>
                </w14:textFill>
              </w:rPr>
            </w:pPr>
          </w:p>
        </w:tc>
        <w:tc>
          <w:tcPr>
            <w:tcW w:w="1187" w:type="dxa"/>
          </w:tcPr>
          <w:p w14:paraId="2F7391DB">
            <w:pPr>
              <w:rPr>
                <w:color w:val="000000" w:themeColor="text1"/>
                <w14:textFill>
                  <w14:solidFill>
                    <w14:schemeClr w14:val="tx1"/>
                  </w14:solidFill>
                </w14:textFill>
              </w:rPr>
            </w:pPr>
          </w:p>
        </w:tc>
        <w:tc>
          <w:tcPr>
            <w:tcW w:w="1187" w:type="dxa"/>
          </w:tcPr>
          <w:p w14:paraId="4A388FDB">
            <w:pPr>
              <w:rPr>
                <w:color w:val="000000" w:themeColor="text1"/>
                <w14:textFill>
                  <w14:solidFill>
                    <w14:schemeClr w14:val="tx1"/>
                  </w14:solidFill>
                </w14:textFill>
              </w:rPr>
            </w:pPr>
          </w:p>
        </w:tc>
      </w:tr>
      <w:tr w14:paraId="4EEE55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6F2C210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1187" w:type="dxa"/>
          </w:tcPr>
          <w:p w14:paraId="11D282CE">
            <w:pPr>
              <w:rPr>
                <w:color w:val="000000" w:themeColor="text1"/>
                <w14:textFill>
                  <w14:solidFill>
                    <w14:schemeClr w14:val="tx1"/>
                  </w14:solidFill>
                </w14:textFill>
              </w:rPr>
            </w:pPr>
          </w:p>
        </w:tc>
        <w:tc>
          <w:tcPr>
            <w:tcW w:w="1187" w:type="dxa"/>
          </w:tcPr>
          <w:p w14:paraId="05D5BA54">
            <w:pPr>
              <w:rPr>
                <w:color w:val="000000" w:themeColor="text1"/>
                <w14:textFill>
                  <w14:solidFill>
                    <w14:schemeClr w14:val="tx1"/>
                  </w14:solidFill>
                </w14:textFill>
              </w:rPr>
            </w:pPr>
          </w:p>
        </w:tc>
        <w:tc>
          <w:tcPr>
            <w:tcW w:w="1187" w:type="dxa"/>
          </w:tcPr>
          <w:p w14:paraId="3104621D">
            <w:pPr>
              <w:rPr>
                <w:color w:val="000000" w:themeColor="text1"/>
                <w14:textFill>
                  <w14:solidFill>
                    <w14:schemeClr w14:val="tx1"/>
                  </w14:solidFill>
                </w14:textFill>
              </w:rPr>
            </w:pPr>
          </w:p>
        </w:tc>
        <w:tc>
          <w:tcPr>
            <w:tcW w:w="1187" w:type="dxa"/>
          </w:tcPr>
          <w:p w14:paraId="0E5EB85B">
            <w:pPr>
              <w:rPr>
                <w:color w:val="000000" w:themeColor="text1"/>
                <w14:textFill>
                  <w14:solidFill>
                    <w14:schemeClr w14:val="tx1"/>
                  </w14:solidFill>
                </w14:textFill>
              </w:rPr>
            </w:pPr>
          </w:p>
        </w:tc>
        <w:tc>
          <w:tcPr>
            <w:tcW w:w="1187" w:type="dxa"/>
          </w:tcPr>
          <w:p w14:paraId="7238718E">
            <w:pPr>
              <w:rPr>
                <w:color w:val="000000" w:themeColor="text1"/>
                <w14:textFill>
                  <w14:solidFill>
                    <w14:schemeClr w14:val="tx1"/>
                  </w14:solidFill>
                </w14:textFill>
              </w:rPr>
            </w:pPr>
          </w:p>
        </w:tc>
      </w:tr>
    </w:tbl>
    <w:p w14:paraId="1AA40C5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5958603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1、本表应按照下列规定填写：</w:t>
      </w:r>
    </w:p>
    <w:p w14:paraId="75EC6EE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1.1“采购包”、“品目号”、“投标标的”及“数量”应与招标文件《采购标的一览表》中的有关内容（“采购包”、“品目号”、“采购标的”及“数量”）保持一致。</w:t>
      </w:r>
    </w:p>
    <w:p w14:paraId="00D217CB">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09D664DA">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1.3“投标标的”为服务的：“规格”项下应填写服务提供者提供的服务标准及品牌（若有）。“来源地”应填写服务提供者的所在地。“备注”项下应填写关于服务标准所涵盖的具体项目或内容的说明等。</w:t>
      </w:r>
    </w:p>
    <w:p w14:paraId="1878A642">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2、投标人需要说明的内容若需特殊表达，应先在本表中进行相应说明，再另页应答，但应做好标注说明，方便评委查阅评审。未标注说明可能导致的不利的评审后果由投标人自行承担。</w:t>
      </w:r>
    </w:p>
    <w:p w14:paraId="11A7442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3、电子投标文件中涉及“投标标的”、“数量”、“规格”、“来源地”的内容若不一致，以投标客户端的投标（响应）报价明细表为准。</w:t>
      </w:r>
    </w:p>
    <w:p w14:paraId="41CC94C8">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5679A9D0">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471A0BEA">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7B874EBA">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二、技术和服务要求响应表</w:t>
      </w:r>
    </w:p>
    <w:p w14:paraId="1B0E453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项目编号：</w:t>
      </w:r>
      <w:r>
        <w:rPr>
          <w:rFonts w:ascii="仿宋_GB2312" w:hAnsi="仿宋_GB2312" w:eastAsia="仿宋_GB2312" w:cs="仿宋_GB2312"/>
          <w:color w:val="000000" w:themeColor="text1"/>
          <w:u w:val="single"/>
          <w14:textFill>
            <w14:solidFill>
              <w14:schemeClr w14:val="tx1"/>
            </w14:solidFill>
          </w14:textFill>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767C3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A8E7D4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w:t>
            </w:r>
          </w:p>
        </w:tc>
        <w:tc>
          <w:tcPr>
            <w:tcW w:w="1661" w:type="dxa"/>
          </w:tcPr>
          <w:p w14:paraId="533BC62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品目号</w:t>
            </w:r>
          </w:p>
        </w:tc>
        <w:tc>
          <w:tcPr>
            <w:tcW w:w="1661" w:type="dxa"/>
          </w:tcPr>
          <w:p w14:paraId="08EF4A5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技术和服务要求</w:t>
            </w:r>
          </w:p>
        </w:tc>
        <w:tc>
          <w:tcPr>
            <w:tcW w:w="1661" w:type="dxa"/>
          </w:tcPr>
          <w:p w14:paraId="46769C7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投标响应</w:t>
            </w:r>
          </w:p>
        </w:tc>
        <w:tc>
          <w:tcPr>
            <w:tcW w:w="1661" w:type="dxa"/>
          </w:tcPr>
          <w:p w14:paraId="4620F2B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是否偏离及说明</w:t>
            </w:r>
          </w:p>
        </w:tc>
      </w:tr>
      <w:tr w14:paraId="641D7C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72DB031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1661" w:type="dxa"/>
          </w:tcPr>
          <w:p w14:paraId="25952EA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w:t>
            </w:r>
          </w:p>
        </w:tc>
        <w:tc>
          <w:tcPr>
            <w:tcW w:w="1661" w:type="dxa"/>
          </w:tcPr>
          <w:p w14:paraId="4F77931D">
            <w:pPr>
              <w:rPr>
                <w:color w:val="000000" w:themeColor="text1"/>
                <w14:textFill>
                  <w14:solidFill>
                    <w14:schemeClr w14:val="tx1"/>
                  </w14:solidFill>
                </w14:textFill>
              </w:rPr>
            </w:pPr>
          </w:p>
        </w:tc>
        <w:tc>
          <w:tcPr>
            <w:tcW w:w="1661" w:type="dxa"/>
          </w:tcPr>
          <w:p w14:paraId="739AFB9C">
            <w:pPr>
              <w:rPr>
                <w:color w:val="000000" w:themeColor="text1"/>
                <w14:textFill>
                  <w14:solidFill>
                    <w14:schemeClr w14:val="tx1"/>
                  </w14:solidFill>
                </w14:textFill>
              </w:rPr>
            </w:pPr>
          </w:p>
        </w:tc>
        <w:tc>
          <w:tcPr>
            <w:tcW w:w="1661" w:type="dxa"/>
          </w:tcPr>
          <w:p w14:paraId="2729CE3A">
            <w:pPr>
              <w:rPr>
                <w:color w:val="000000" w:themeColor="text1"/>
                <w14:textFill>
                  <w14:solidFill>
                    <w14:schemeClr w14:val="tx1"/>
                  </w14:solidFill>
                </w14:textFill>
              </w:rPr>
            </w:pPr>
          </w:p>
        </w:tc>
      </w:tr>
      <w:tr w14:paraId="02285D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74CF2812">
            <w:pPr>
              <w:rPr>
                <w:color w:val="000000" w:themeColor="text1"/>
                <w14:textFill>
                  <w14:solidFill>
                    <w14:schemeClr w14:val="tx1"/>
                  </w14:solidFill>
                </w14:textFill>
              </w:rPr>
            </w:pPr>
          </w:p>
        </w:tc>
        <w:tc>
          <w:tcPr>
            <w:tcW w:w="1661" w:type="dxa"/>
          </w:tcPr>
          <w:p w14:paraId="1809C666">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1661" w:type="dxa"/>
          </w:tcPr>
          <w:p w14:paraId="700331F7">
            <w:pPr>
              <w:rPr>
                <w:color w:val="000000" w:themeColor="text1"/>
                <w14:textFill>
                  <w14:solidFill>
                    <w14:schemeClr w14:val="tx1"/>
                  </w14:solidFill>
                </w14:textFill>
              </w:rPr>
            </w:pPr>
          </w:p>
        </w:tc>
        <w:tc>
          <w:tcPr>
            <w:tcW w:w="1661" w:type="dxa"/>
          </w:tcPr>
          <w:p w14:paraId="05B78F5C">
            <w:pPr>
              <w:rPr>
                <w:color w:val="000000" w:themeColor="text1"/>
                <w14:textFill>
                  <w14:solidFill>
                    <w14:schemeClr w14:val="tx1"/>
                  </w14:solidFill>
                </w14:textFill>
              </w:rPr>
            </w:pPr>
          </w:p>
        </w:tc>
        <w:tc>
          <w:tcPr>
            <w:tcW w:w="1661" w:type="dxa"/>
          </w:tcPr>
          <w:p w14:paraId="785AF2CE">
            <w:pPr>
              <w:rPr>
                <w:color w:val="000000" w:themeColor="text1"/>
                <w14:textFill>
                  <w14:solidFill>
                    <w14:schemeClr w14:val="tx1"/>
                  </w14:solidFill>
                </w14:textFill>
              </w:rPr>
            </w:pPr>
          </w:p>
        </w:tc>
      </w:tr>
      <w:tr w14:paraId="30D02E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5C4AF29">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1661" w:type="dxa"/>
          </w:tcPr>
          <w:p w14:paraId="5883E0AD">
            <w:pPr>
              <w:rPr>
                <w:color w:val="000000" w:themeColor="text1"/>
                <w14:textFill>
                  <w14:solidFill>
                    <w14:schemeClr w14:val="tx1"/>
                  </w14:solidFill>
                </w14:textFill>
              </w:rPr>
            </w:pPr>
          </w:p>
        </w:tc>
        <w:tc>
          <w:tcPr>
            <w:tcW w:w="1661" w:type="dxa"/>
          </w:tcPr>
          <w:p w14:paraId="0749E061">
            <w:pPr>
              <w:rPr>
                <w:color w:val="000000" w:themeColor="text1"/>
                <w14:textFill>
                  <w14:solidFill>
                    <w14:schemeClr w14:val="tx1"/>
                  </w14:solidFill>
                </w14:textFill>
              </w:rPr>
            </w:pPr>
          </w:p>
        </w:tc>
        <w:tc>
          <w:tcPr>
            <w:tcW w:w="1661" w:type="dxa"/>
          </w:tcPr>
          <w:p w14:paraId="426E5ECD">
            <w:pPr>
              <w:rPr>
                <w:color w:val="000000" w:themeColor="text1"/>
                <w14:textFill>
                  <w14:solidFill>
                    <w14:schemeClr w14:val="tx1"/>
                  </w14:solidFill>
                </w14:textFill>
              </w:rPr>
            </w:pPr>
          </w:p>
        </w:tc>
        <w:tc>
          <w:tcPr>
            <w:tcW w:w="1661" w:type="dxa"/>
          </w:tcPr>
          <w:p w14:paraId="332FA905">
            <w:pPr>
              <w:rPr>
                <w:color w:val="000000" w:themeColor="text1"/>
                <w14:textFill>
                  <w14:solidFill>
                    <w14:schemeClr w14:val="tx1"/>
                  </w14:solidFill>
                </w14:textFill>
              </w:rPr>
            </w:pPr>
          </w:p>
        </w:tc>
      </w:tr>
    </w:tbl>
    <w:p w14:paraId="3EA6E0A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6072E7C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1、本表应按照下列规定填写：</w:t>
      </w:r>
    </w:p>
    <w:p w14:paraId="14D24CA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1.1“技术和服务要求”项下填写的内容应与招标文件第五章“技术和服务要求”的内容保持一致。</w:t>
      </w:r>
    </w:p>
    <w:p w14:paraId="7AE076A9">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50C430C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1.3“是否偏离及说明”项下应按下列规定填写：优于的，填写“正偏离”；符合的，填写“无偏离”；低于的，填写“负偏离”。</w:t>
      </w:r>
    </w:p>
    <w:p w14:paraId="4E942F7E">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2、投标人需要说明的内容若需特殊表达，应先在本表中进行相应说明，再另页应答，但应做好标注说明，方便评委查阅评审。未标注说明可能导致的不利的评审后果由投标人自行承担。</w:t>
      </w:r>
    </w:p>
    <w:p w14:paraId="62842364">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3FD6B7BD">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5E5C8950">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603043EC">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三、商务条件响应表</w:t>
      </w:r>
    </w:p>
    <w:p w14:paraId="50FFC4F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项目编号：</w:t>
      </w:r>
      <w:r>
        <w:rPr>
          <w:rFonts w:ascii="仿宋_GB2312" w:hAnsi="仿宋_GB2312" w:eastAsia="仿宋_GB2312" w:cs="仿宋_GB2312"/>
          <w:color w:val="000000" w:themeColor="text1"/>
          <w:u w:val="single"/>
          <w14:textFill>
            <w14:solidFill>
              <w14:schemeClr w14:val="tx1"/>
            </w14:solidFill>
          </w14:textFill>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477598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83640CC">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采购包</w:t>
            </w:r>
          </w:p>
        </w:tc>
        <w:tc>
          <w:tcPr>
            <w:tcW w:w="1661" w:type="dxa"/>
          </w:tcPr>
          <w:p w14:paraId="453FBED1">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品目号</w:t>
            </w:r>
          </w:p>
        </w:tc>
        <w:tc>
          <w:tcPr>
            <w:tcW w:w="1661" w:type="dxa"/>
          </w:tcPr>
          <w:p w14:paraId="1FA44B1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商务条件</w:t>
            </w:r>
          </w:p>
        </w:tc>
        <w:tc>
          <w:tcPr>
            <w:tcW w:w="1661" w:type="dxa"/>
          </w:tcPr>
          <w:p w14:paraId="69F1327F">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投标响应</w:t>
            </w:r>
          </w:p>
        </w:tc>
        <w:tc>
          <w:tcPr>
            <w:tcW w:w="1661" w:type="dxa"/>
          </w:tcPr>
          <w:p w14:paraId="043962E8">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是否偏离及说明</w:t>
            </w:r>
          </w:p>
        </w:tc>
      </w:tr>
      <w:tr w14:paraId="5CBCC7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236C5A1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1661" w:type="dxa"/>
          </w:tcPr>
          <w:p w14:paraId="0DEF395D">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w:t>
            </w:r>
          </w:p>
        </w:tc>
        <w:tc>
          <w:tcPr>
            <w:tcW w:w="1661" w:type="dxa"/>
          </w:tcPr>
          <w:p w14:paraId="51BE4210">
            <w:pPr>
              <w:rPr>
                <w:color w:val="000000" w:themeColor="text1"/>
                <w14:textFill>
                  <w14:solidFill>
                    <w14:schemeClr w14:val="tx1"/>
                  </w14:solidFill>
                </w14:textFill>
              </w:rPr>
            </w:pPr>
          </w:p>
        </w:tc>
        <w:tc>
          <w:tcPr>
            <w:tcW w:w="1661" w:type="dxa"/>
          </w:tcPr>
          <w:p w14:paraId="1A56F5BE">
            <w:pPr>
              <w:rPr>
                <w:color w:val="000000" w:themeColor="text1"/>
                <w14:textFill>
                  <w14:solidFill>
                    <w14:schemeClr w14:val="tx1"/>
                  </w14:solidFill>
                </w14:textFill>
              </w:rPr>
            </w:pPr>
          </w:p>
        </w:tc>
        <w:tc>
          <w:tcPr>
            <w:tcW w:w="1661" w:type="dxa"/>
          </w:tcPr>
          <w:p w14:paraId="65D8E908">
            <w:pPr>
              <w:rPr>
                <w:color w:val="000000" w:themeColor="text1"/>
                <w14:textFill>
                  <w14:solidFill>
                    <w14:schemeClr w14:val="tx1"/>
                  </w14:solidFill>
                </w14:textFill>
              </w:rPr>
            </w:pPr>
          </w:p>
        </w:tc>
      </w:tr>
      <w:tr w14:paraId="5B663A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2FD2E2E4">
            <w:pPr>
              <w:rPr>
                <w:color w:val="000000" w:themeColor="text1"/>
                <w14:textFill>
                  <w14:solidFill>
                    <w14:schemeClr w14:val="tx1"/>
                  </w14:solidFill>
                </w14:textFill>
              </w:rPr>
            </w:pPr>
          </w:p>
        </w:tc>
        <w:tc>
          <w:tcPr>
            <w:tcW w:w="1661" w:type="dxa"/>
          </w:tcPr>
          <w:p w14:paraId="62E6D293">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1661" w:type="dxa"/>
          </w:tcPr>
          <w:p w14:paraId="1BAC2EA0">
            <w:pPr>
              <w:rPr>
                <w:color w:val="000000" w:themeColor="text1"/>
                <w14:textFill>
                  <w14:solidFill>
                    <w14:schemeClr w14:val="tx1"/>
                  </w14:solidFill>
                </w14:textFill>
              </w:rPr>
            </w:pPr>
          </w:p>
        </w:tc>
        <w:tc>
          <w:tcPr>
            <w:tcW w:w="1661" w:type="dxa"/>
          </w:tcPr>
          <w:p w14:paraId="27DB2F5A">
            <w:pPr>
              <w:rPr>
                <w:color w:val="000000" w:themeColor="text1"/>
                <w14:textFill>
                  <w14:solidFill>
                    <w14:schemeClr w14:val="tx1"/>
                  </w14:solidFill>
                </w14:textFill>
              </w:rPr>
            </w:pPr>
          </w:p>
        </w:tc>
        <w:tc>
          <w:tcPr>
            <w:tcW w:w="1661" w:type="dxa"/>
          </w:tcPr>
          <w:p w14:paraId="138BC43C">
            <w:pPr>
              <w:rPr>
                <w:color w:val="000000" w:themeColor="text1"/>
                <w14:textFill>
                  <w14:solidFill>
                    <w14:schemeClr w14:val="tx1"/>
                  </w14:solidFill>
                </w14:textFill>
              </w:rPr>
            </w:pPr>
          </w:p>
        </w:tc>
      </w:tr>
      <w:tr w14:paraId="754CB1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D3DE667">
            <w:pPr>
              <w:pStyle w:val="6"/>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w:t>
            </w:r>
          </w:p>
        </w:tc>
        <w:tc>
          <w:tcPr>
            <w:tcW w:w="1661" w:type="dxa"/>
          </w:tcPr>
          <w:p w14:paraId="626F229B">
            <w:pPr>
              <w:rPr>
                <w:color w:val="000000" w:themeColor="text1"/>
                <w14:textFill>
                  <w14:solidFill>
                    <w14:schemeClr w14:val="tx1"/>
                  </w14:solidFill>
                </w14:textFill>
              </w:rPr>
            </w:pPr>
          </w:p>
        </w:tc>
        <w:tc>
          <w:tcPr>
            <w:tcW w:w="1661" w:type="dxa"/>
          </w:tcPr>
          <w:p w14:paraId="72B825E9">
            <w:pPr>
              <w:rPr>
                <w:color w:val="000000" w:themeColor="text1"/>
                <w14:textFill>
                  <w14:solidFill>
                    <w14:schemeClr w14:val="tx1"/>
                  </w14:solidFill>
                </w14:textFill>
              </w:rPr>
            </w:pPr>
          </w:p>
        </w:tc>
        <w:tc>
          <w:tcPr>
            <w:tcW w:w="1661" w:type="dxa"/>
          </w:tcPr>
          <w:p w14:paraId="10B80C80">
            <w:pPr>
              <w:rPr>
                <w:color w:val="000000" w:themeColor="text1"/>
                <w14:textFill>
                  <w14:solidFill>
                    <w14:schemeClr w14:val="tx1"/>
                  </w14:solidFill>
                </w14:textFill>
              </w:rPr>
            </w:pPr>
          </w:p>
        </w:tc>
        <w:tc>
          <w:tcPr>
            <w:tcW w:w="1661" w:type="dxa"/>
          </w:tcPr>
          <w:p w14:paraId="26DBD74E">
            <w:pPr>
              <w:rPr>
                <w:color w:val="000000" w:themeColor="text1"/>
                <w14:textFill>
                  <w14:solidFill>
                    <w14:schemeClr w14:val="tx1"/>
                  </w14:solidFill>
                </w14:textFill>
              </w:rPr>
            </w:pPr>
          </w:p>
        </w:tc>
      </w:tr>
    </w:tbl>
    <w:p w14:paraId="0B3FB44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※注意：</w:t>
      </w:r>
    </w:p>
    <w:p w14:paraId="782AD6DF">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1、本表应按照下列规定填写：</w:t>
      </w:r>
    </w:p>
    <w:p w14:paraId="1C9FA997">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1.1“商务条件”项下填写的内容应与招标文件第五章“商务条件”的内容保持一致。</w:t>
      </w:r>
    </w:p>
    <w:p w14:paraId="16E3B16C">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1.2“投标响应”项下应填写具体的响应内容并与“商务条件”项下填写的内容逐项对应；对“商务条件”项下涉及“≥或＞”、“≤或＜”及某个区间值范围内的内容，应填写具体的数值。</w:t>
      </w:r>
    </w:p>
    <w:p w14:paraId="0F8A7A8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1.3“是否偏离及说明”项下应按下列规定填写：优于的，填写“正偏离”；符合的，填写“无偏离”；低于的，填写“负偏离”。</w:t>
      </w:r>
    </w:p>
    <w:p w14:paraId="4752E65D">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2、投标人需要说明的内容若需特殊表达，应先在本表中进行相应说明，再另页应答，但应做好标注说明，方便评委查阅评审。未标注说明可能导致的不利的评审后果由投标人自行承担。</w:t>
      </w:r>
    </w:p>
    <w:p w14:paraId="1D3041F2">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w:t>
      </w:r>
      <w:r>
        <w:rPr>
          <w:rFonts w:ascii="仿宋_GB2312" w:hAnsi="仿宋_GB2312" w:eastAsia="仿宋_GB2312" w:cs="仿宋_GB2312"/>
          <w:color w:val="000000" w:themeColor="text1"/>
          <w:u w:val="single"/>
          <w14:textFill>
            <w14:solidFill>
              <w14:schemeClr w14:val="tx1"/>
            </w14:solidFill>
          </w14:textFill>
        </w:rPr>
        <w:t>（全称并加盖单位公章）</w:t>
      </w:r>
    </w:p>
    <w:p w14:paraId="1E255C59">
      <w:pPr>
        <w:pStyle w:val="6"/>
        <w:ind w:firstLine="480"/>
        <w:jc w:val="righ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日期：</w:t>
      </w:r>
      <w:r>
        <w:rPr>
          <w:rFonts w:ascii="仿宋_GB2312" w:hAnsi="仿宋_GB2312" w:eastAsia="仿宋_GB2312" w:cs="仿宋_GB2312"/>
          <w:color w:val="000000" w:themeColor="text1"/>
          <w:u w:val="single"/>
          <w14:textFill>
            <w14:solidFill>
              <w14:schemeClr w14:val="tx1"/>
            </w14:solidFill>
          </w14:textFill>
        </w:rPr>
        <w:t>　　年　　月　　日</w:t>
      </w:r>
    </w:p>
    <w:p w14:paraId="0D229E54">
      <w:pPr>
        <w:pStyle w:val="6"/>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br w:type="textWrapping"/>
      </w:r>
      <w:r>
        <w:rPr>
          <w:rFonts w:ascii="仿宋_GB2312" w:hAnsi="仿宋_GB2312" w:eastAsia="仿宋_GB2312" w:cs="仿宋_GB2312"/>
          <w:color w:val="000000" w:themeColor="text1"/>
          <w14:textFill>
            <w14:solidFill>
              <w14:schemeClr w14:val="tx1"/>
            </w14:solidFill>
          </w14:textFill>
        </w:rPr>
        <w:br w:type="page"/>
      </w:r>
    </w:p>
    <w:p w14:paraId="25BFD57D">
      <w:pPr>
        <w:pStyle w:val="6"/>
        <w:jc w:val="center"/>
        <w:outlineLvl w:val="2"/>
        <w:rPr>
          <w:color w:val="000000" w:themeColor="text1"/>
          <w14:textFill>
            <w14:solidFill>
              <w14:schemeClr w14:val="tx1"/>
            </w14:solidFill>
          </w14:textFill>
        </w:rPr>
      </w:pPr>
      <w:r>
        <w:rPr>
          <w:rFonts w:ascii="仿宋_GB2312" w:hAnsi="仿宋_GB2312" w:eastAsia="仿宋_GB2312" w:cs="仿宋_GB2312"/>
          <w:b/>
          <w:color w:val="000000" w:themeColor="text1"/>
          <w:sz w:val="28"/>
          <w14:textFill>
            <w14:solidFill>
              <w14:schemeClr w14:val="tx1"/>
            </w14:solidFill>
          </w14:textFill>
        </w:rPr>
        <w:t>四、投标人提交的其他资料（若有）</w:t>
      </w:r>
    </w:p>
    <w:p w14:paraId="709394B0">
      <w:pPr>
        <w:pStyle w:val="6"/>
        <w:ind w:firstLine="480"/>
        <w:jc w:val="center"/>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编制说明</w:t>
      </w:r>
    </w:p>
    <w:p w14:paraId="150529F6">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1、招标文件要求提交的除“资格及资信证明部分”、“报价部分”外的其他证明材料或资料加盖投标人的单位公章后应在此项下提交。</w:t>
      </w:r>
    </w:p>
    <w:p w14:paraId="2200A420">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2、招标文件要求投标人提供方案（包括但不限于：组织、实施、技术、服务方案等）的，投标人应在此项下提交。</w:t>
      </w:r>
    </w:p>
    <w:p w14:paraId="08CDA3F1">
      <w:pPr>
        <w:pStyle w:val="6"/>
        <w:ind w:firstLine="480"/>
        <w:jc w:val="left"/>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3、除招标文件另有规定外，投标人认为需要提交的其他证明材料或资料加盖投标人的单位公章后应在此项下提交。</w:t>
      </w:r>
    </w:p>
    <w:p w14:paraId="729B24E4">
      <w:pPr>
        <w:pStyle w:val="6"/>
        <w:rPr>
          <w:rFonts w:hint="eastAsia"/>
          <w:color w:val="000000" w:themeColor="text1"/>
          <w:lang w:val="en-US" w:eastAsia="zh-Hans"/>
          <w14:textFill>
            <w14:solidFill>
              <w14:schemeClr w14:val="tx1"/>
            </w14:solidFill>
          </w14:textFill>
        </w:rPr>
      </w:pPr>
    </w:p>
    <w:sectPr>
      <w:footerReference r:id="rId3" w:type="default"/>
      <w:pgSz w:w="11906" w:h="16838"/>
      <w:pgMar w:top="1440" w:right="1800" w:bottom="1440" w:left="1800" w:header="851" w:footer="992"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B4EB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6A169F">
                          <w:pPr>
                            <w:pStyle w:val="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96A169F">
                    <w:pPr>
                      <w:pStyle w:val="2"/>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30E4745"/>
    <w:rsid w:val="15C77B5F"/>
    <w:rsid w:val="177F50ED"/>
    <w:rsid w:val="1D1125BF"/>
    <w:rsid w:val="1EA36BD4"/>
    <w:rsid w:val="200819B5"/>
    <w:rsid w:val="20195A3C"/>
    <w:rsid w:val="26070074"/>
    <w:rsid w:val="2D2211C3"/>
    <w:rsid w:val="30114B96"/>
    <w:rsid w:val="352D38D8"/>
    <w:rsid w:val="35C46F12"/>
    <w:rsid w:val="384F0C8B"/>
    <w:rsid w:val="3A540A2A"/>
    <w:rsid w:val="47A90E1D"/>
    <w:rsid w:val="4B4E183F"/>
    <w:rsid w:val="4CA64FF5"/>
    <w:rsid w:val="53B52B8D"/>
    <w:rsid w:val="540F243C"/>
    <w:rsid w:val="5A1925CC"/>
    <w:rsid w:val="5DFD539A"/>
    <w:rsid w:val="72B069BC"/>
    <w:rsid w:val="77F79321"/>
    <w:rsid w:val="7D83484D"/>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91</Pages>
  <Words>122</Words>
  <Characters>188</Characters>
  <Lines>0</Lines>
  <Paragraphs>0</Paragraphs>
  <TotalTime>1</TotalTime>
  <ScaleCrop>false</ScaleCrop>
  <LinksUpToDate>false</LinksUpToDate>
  <CharactersWithSpaces>191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小呆guo</cp:lastModifiedBy>
  <dcterms:modified xsi:type="dcterms:W3CDTF">2026-10-21T02:35:37Z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95A86D57800E4D7BA5B1B701876F4DDD_13</vt:lpwstr>
  </property>
  <property fmtid="{D5CDD505-2E9C-101B-9397-08002B2CF9AE}" pid="4" name="KSOTemplateDocerSaveRecord">
    <vt:lpwstr>eyJoZGlkIjoiMDdiMWM1NzAwODg2OGIzMWNlMTU3Njk3ODRiNDg0YzEiLCJ1c2VySWQiOiIyMjY2MjUxMTEifQ==</vt:lpwstr>
  </property>
</Properties>
</file>