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14BDB">
      <w:pPr>
        <w:pStyle w:val="5"/>
        <w:jc w:val="center"/>
        <w:outlineLvl w:val="1"/>
        <w:rPr>
          <w:rFonts w:hint="default" w:eastAsia="仿宋_GB2312"/>
          <w:highlight w:val="none"/>
          <w:lang w:val="en-US" w:eastAsia="zh-CN"/>
        </w:rPr>
      </w:pPr>
      <w:r>
        <w:rPr>
          <w:rFonts w:ascii="仿宋_GB2312" w:hAnsi="仿宋_GB2312" w:eastAsia="仿宋_GB2312" w:cs="仿宋_GB2312"/>
          <w:b/>
          <w:sz w:val="36"/>
          <w:highlight w:val="none"/>
        </w:rPr>
        <w:t xml:space="preserve"> </w:t>
      </w:r>
      <w:r>
        <w:rPr>
          <w:rFonts w:hint="eastAsia" w:ascii="仿宋_GB2312" w:hAnsi="仿宋_GB2312" w:eastAsia="仿宋_GB2312" w:cs="仿宋_GB2312"/>
          <w:b/>
          <w:sz w:val="36"/>
          <w:highlight w:val="none"/>
          <w:lang w:eastAsia="zh-CN"/>
        </w:rPr>
        <w:t>采购需求</w:t>
      </w:r>
    </w:p>
    <w:p w14:paraId="0DF353C9">
      <w:pPr>
        <w:pStyle w:val="5"/>
        <w:jc w:val="both"/>
        <w:outlineLvl w:val="2"/>
        <w:rPr>
          <w:highlight w:val="none"/>
        </w:rPr>
      </w:pPr>
      <w:r>
        <w:rPr>
          <w:rFonts w:ascii="仿宋_GB2312" w:hAnsi="仿宋_GB2312" w:eastAsia="仿宋_GB2312" w:cs="仿宋_GB2312"/>
          <w:b/>
          <w:sz w:val="28"/>
          <w:highlight w:val="none"/>
        </w:rPr>
        <w:t>一、项目概况（采购标的）</w:t>
      </w:r>
    </w:p>
    <w:p w14:paraId="7BFA8451">
      <w:pPr>
        <w:pStyle w:val="5"/>
        <w:ind w:firstLine="480"/>
        <w:jc w:val="both"/>
        <w:rPr>
          <w:highlight w:val="none"/>
        </w:rPr>
      </w:pPr>
      <w:r>
        <w:rPr>
          <w:rFonts w:ascii="仿宋_GB2312" w:hAnsi="仿宋_GB2312" w:eastAsia="仿宋_GB2312" w:cs="仿宋_GB2312"/>
          <w:sz w:val="20"/>
          <w:highlight w:val="none"/>
        </w:rPr>
        <w:t>1、本项目为2026-2027年新增市管道路绿化社会化养护，包含市管道路绿地养护、病虫害防治、市管行道树及路旁绿地的抗台防汛应急抢险等工作。</w:t>
      </w:r>
    </w:p>
    <w:p w14:paraId="04195952">
      <w:pPr>
        <w:pStyle w:val="5"/>
        <w:ind w:firstLine="480"/>
        <w:jc w:val="both"/>
        <w:rPr>
          <w:highlight w:val="none"/>
        </w:rPr>
      </w:pPr>
      <w:r>
        <w:rPr>
          <w:rFonts w:ascii="仿宋_GB2312" w:hAnsi="仿宋_GB2312" w:eastAsia="仿宋_GB2312" w:cs="仿宋_GB2312"/>
          <w:sz w:val="20"/>
          <w:highlight w:val="none"/>
        </w:rPr>
        <w:t>道路绿化养护根据二级养护管理需求，按实际数量接收，数据需经勘测复核后方可确定。</w:t>
      </w:r>
    </w:p>
    <w:p w14:paraId="0A0B5412">
      <w:pPr>
        <w:pStyle w:val="5"/>
        <w:ind w:firstLine="480"/>
        <w:jc w:val="both"/>
        <w:rPr>
          <w:highlight w:val="none"/>
        </w:rPr>
      </w:pPr>
      <w:r>
        <w:rPr>
          <w:rFonts w:ascii="仿宋_GB2312" w:hAnsi="仿宋_GB2312" w:eastAsia="仿宋_GB2312" w:cs="仿宋_GB2312"/>
          <w:sz w:val="20"/>
          <w:highlight w:val="none"/>
        </w:rPr>
        <w:t>2、实际养护数量将根据现场情况按月进行核增和核减，每月（含）15日前核增减的量以当月1日起计算养护费用，15日后核增减的量次月1日起计算养护费用。</w:t>
      </w:r>
    </w:p>
    <w:p w14:paraId="56C092F0">
      <w:pPr>
        <w:pStyle w:val="5"/>
        <w:ind w:firstLine="480"/>
        <w:jc w:val="both"/>
        <w:rPr>
          <w:highlight w:val="none"/>
        </w:rPr>
      </w:pPr>
      <w:r>
        <w:rPr>
          <w:rFonts w:ascii="仿宋_GB2312" w:hAnsi="仿宋_GB2312" w:eastAsia="仿宋_GB2312" w:cs="仿宋_GB2312"/>
          <w:sz w:val="20"/>
          <w:highlight w:val="none"/>
        </w:rPr>
        <w:t>3、本项目服务期自合同签订之日起至2027年10月31日止。</w:t>
      </w:r>
    </w:p>
    <w:p w14:paraId="2FB25024">
      <w:pPr>
        <w:pStyle w:val="5"/>
        <w:jc w:val="both"/>
        <w:outlineLvl w:val="2"/>
        <w:rPr>
          <w:highlight w:val="none"/>
        </w:rPr>
      </w:pPr>
      <w:r>
        <w:rPr>
          <w:rFonts w:ascii="仿宋_GB2312" w:hAnsi="仿宋_GB2312" w:eastAsia="仿宋_GB2312" w:cs="仿宋_GB2312"/>
          <w:b/>
          <w:sz w:val="28"/>
          <w:highlight w:val="none"/>
        </w:rPr>
        <w:t>二、技术和服务要求（以“★”标示的内容为不允许负偏离的实质性要求）</w:t>
      </w:r>
    </w:p>
    <w:p w14:paraId="14FBC46E">
      <w:pPr>
        <w:pStyle w:val="5"/>
        <w:jc w:val="left"/>
        <w:rPr>
          <w:highlight w:val="none"/>
        </w:rPr>
      </w:pPr>
      <w:r>
        <w:rPr>
          <w:rFonts w:ascii="仿宋_GB2312" w:hAnsi="仿宋_GB2312" w:eastAsia="仿宋_GB2312" w:cs="仿宋_GB2312"/>
          <w:b/>
          <w:sz w:val="20"/>
          <w:highlight w:val="none"/>
        </w:rPr>
        <w:t>★（一）项目人员车辆配置</w:t>
      </w:r>
    </w:p>
    <w:p w14:paraId="10A47C0F">
      <w:pPr>
        <w:pStyle w:val="5"/>
        <w:jc w:val="both"/>
        <w:rPr>
          <w:highlight w:val="none"/>
        </w:rPr>
      </w:pPr>
      <w:r>
        <w:rPr>
          <w:rFonts w:ascii="仿宋_GB2312" w:hAnsi="仿宋_GB2312" w:eastAsia="仿宋_GB2312" w:cs="仿宋_GB2312"/>
          <w:sz w:val="20"/>
          <w:highlight w:val="none"/>
        </w:rPr>
        <w:t>1、基础人员配备</w:t>
      </w:r>
    </w:p>
    <w:p w14:paraId="4949F645">
      <w:pPr>
        <w:pStyle w:val="5"/>
        <w:keepNext w:val="0"/>
        <w:keepLines w:val="0"/>
        <w:pageBreakBefore w:val="0"/>
        <w:widowControl/>
        <w:kinsoku/>
        <w:wordWrap/>
        <w:overflowPunct/>
        <w:topLinePunct w:val="0"/>
        <w:autoSpaceDE/>
        <w:autoSpaceDN/>
        <w:bidi w:val="0"/>
        <w:adjustRightInd/>
        <w:snapToGrid/>
        <w:ind w:firstLine="403"/>
        <w:jc w:val="both"/>
        <w:textAlignment w:val="auto"/>
        <w:rPr>
          <w:rFonts w:hint="eastAsia" w:ascii="仿宋_GB2312" w:hAnsi="仿宋_GB2312" w:eastAsia="仿宋_GB2312" w:cs="仿宋_GB2312"/>
          <w:sz w:val="20"/>
          <w:highlight w:val="none"/>
          <w:lang w:eastAsia="zh-CN"/>
        </w:rPr>
      </w:pPr>
      <w:r>
        <w:rPr>
          <w:rFonts w:ascii="仿宋_GB2312" w:hAnsi="仿宋_GB2312" w:eastAsia="仿宋_GB2312" w:cs="仿宋_GB2312"/>
          <w:sz w:val="20"/>
          <w:highlight w:val="none"/>
        </w:rPr>
        <w:t>（1）配备人数根据实际接收绿地每9000㎡配置1人，行道树每800株配置1人，实行动态配置。</w:t>
      </w:r>
      <w:r>
        <w:rPr>
          <w:rFonts w:hint="eastAsia" w:ascii="仿宋_GB2312" w:hAnsi="仿宋_GB2312" w:eastAsia="仿宋_GB2312" w:cs="仿宋_GB2312"/>
          <w:sz w:val="20"/>
          <w:highlight w:val="none"/>
          <w:lang w:eastAsia="zh-CN"/>
        </w:rPr>
        <w:t>具体如下表：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880"/>
        <w:gridCol w:w="1880"/>
        <w:gridCol w:w="1880"/>
      </w:tblGrid>
      <w:tr w14:paraId="41EC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519" w:type="dxa"/>
            <w:gridSpan w:val="4"/>
            <w:vAlign w:val="center"/>
          </w:tcPr>
          <w:p w14:paraId="7B28C996">
            <w:pPr>
              <w:pStyle w:val="5"/>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绿地人员配备</w:t>
            </w:r>
          </w:p>
        </w:tc>
      </w:tr>
      <w:tr w14:paraId="2523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879" w:type="dxa"/>
            <w:vAlign w:val="center"/>
          </w:tcPr>
          <w:p w14:paraId="664DDFE0">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1-9000</w:t>
            </w:r>
            <w:r>
              <w:rPr>
                <w:rFonts w:ascii="仿宋_GB2312" w:hAnsi="仿宋_GB2312" w:eastAsia="仿宋_GB2312" w:cs="仿宋_GB2312"/>
                <w:sz w:val="20"/>
                <w:highlight w:val="none"/>
              </w:rPr>
              <w:t>㎡</w:t>
            </w:r>
          </w:p>
        </w:tc>
        <w:tc>
          <w:tcPr>
            <w:tcW w:w="1880" w:type="dxa"/>
            <w:vAlign w:val="center"/>
          </w:tcPr>
          <w:p w14:paraId="07DBA55D">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9001-18000</w:t>
            </w:r>
            <w:r>
              <w:rPr>
                <w:rFonts w:ascii="仿宋_GB2312" w:hAnsi="仿宋_GB2312" w:eastAsia="仿宋_GB2312" w:cs="仿宋_GB2312"/>
                <w:sz w:val="20"/>
                <w:highlight w:val="none"/>
              </w:rPr>
              <w:t>㎡</w:t>
            </w:r>
          </w:p>
        </w:tc>
        <w:tc>
          <w:tcPr>
            <w:tcW w:w="1880" w:type="dxa"/>
            <w:vAlign w:val="center"/>
          </w:tcPr>
          <w:p w14:paraId="4011543D">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18001-27000</w:t>
            </w:r>
            <w:r>
              <w:rPr>
                <w:rFonts w:ascii="仿宋_GB2312" w:hAnsi="仿宋_GB2312" w:eastAsia="仿宋_GB2312" w:cs="仿宋_GB2312"/>
                <w:sz w:val="20"/>
                <w:highlight w:val="none"/>
              </w:rPr>
              <w:t>㎡</w:t>
            </w:r>
          </w:p>
        </w:tc>
        <w:tc>
          <w:tcPr>
            <w:tcW w:w="1880" w:type="dxa"/>
            <w:vAlign w:val="center"/>
          </w:tcPr>
          <w:p w14:paraId="5C761804">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w:t>
            </w:r>
          </w:p>
        </w:tc>
      </w:tr>
      <w:tr w14:paraId="432E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879" w:type="dxa"/>
            <w:vAlign w:val="center"/>
          </w:tcPr>
          <w:p w14:paraId="29C2F0A1">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1人</w:t>
            </w:r>
          </w:p>
        </w:tc>
        <w:tc>
          <w:tcPr>
            <w:tcW w:w="1880" w:type="dxa"/>
            <w:vAlign w:val="center"/>
          </w:tcPr>
          <w:p w14:paraId="0ACBC358">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2人</w:t>
            </w:r>
          </w:p>
        </w:tc>
        <w:tc>
          <w:tcPr>
            <w:tcW w:w="1880" w:type="dxa"/>
            <w:vAlign w:val="center"/>
          </w:tcPr>
          <w:p w14:paraId="07954EF9">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3人</w:t>
            </w:r>
          </w:p>
        </w:tc>
        <w:tc>
          <w:tcPr>
            <w:tcW w:w="1880" w:type="dxa"/>
            <w:vAlign w:val="center"/>
          </w:tcPr>
          <w:p w14:paraId="4C9E880B">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以此类推</w:t>
            </w:r>
          </w:p>
        </w:tc>
      </w:tr>
    </w:tbl>
    <w:p w14:paraId="4010B611">
      <w:pPr>
        <w:pStyle w:val="5"/>
        <w:keepNext w:val="0"/>
        <w:keepLines w:val="0"/>
        <w:pageBreakBefore w:val="0"/>
        <w:widowControl/>
        <w:kinsoku/>
        <w:wordWrap/>
        <w:overflowPunct/>
        <w:topLinePunct w:val="0"/>
        <w:autoSpaceDE/>
        <w:autoSpaceDN/>
        <w:bidi w:val="0"/>
        <w:adjustRightInd/>
        <w:snapToGrid/>
        <w:ind w:firstLine="403"/>
        <w:jc w:val="both"/>
        <w:textAlignment w:val="auto"/>
        <w:rPr>
          <w:rFonts w:hint="default" w:ascii="仿宋_GB2312" w:hAnsi="仿宋_GB2312" w:eastAsia="仿宋_GB2312" w:cs="仿宋_GB2312"/>
          <w:sz w:val="20"/>
          <w:highlight w:val="none"/>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880"/>
        <w:gridCol w:w="1880"/>
        <w:gridCol w:w="1880"/>
      </w:tblGrid>
      <w:tr w14:paraId="7908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519" w:type="dxa"/>
            <w:gridSpan w:val="4"/>
            <w:vAlign w:val="center"/>
          </w:tcPr>
          <w:p w14:paraId="2439D629">
            <w:pPr>
              <w:pStyle w:val="5"/>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行道树人员配备</w:t>
            </w:r>
          </w:p>
        </w:tc>
      </w:tr>
      <w:tr w14:paraId="48A0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879" w:type="dxa"/>
            <w:vAlign w:val="center"/>
          </w:tcPr>
          <w:p w14:paraId="26440E2A">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1-800株</w:t>
            </w:r>
          </w:p>
        </w:tc>
        <w:tc>
          <w:tcPr>
            <w:tcW w:w="1880" w:type="dxa"/>
            <w:vAlign w:val="center"/>
          </w:tcPr>
          <w:p w14:paraId="40E37B9F">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801-1600株</w:t>
            </w:r>
          </w:p>
        </w:tc>
        <w:tc>
          <w:tcPr>
            <w:tcW w:w="1880" w:type="dxa"/>
            <w:vAlign w:val="center"/>
          </w:tcPr>
          <w:p w14:paraId="71009A30">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1601-2400株</w:t>
            </w:r>
          </w:p>
        </w:tc>
        <w:tc>
          <w:tcPr>
            <w:tcW w:w="1880" w:type="dxa"/>
            <w:vAlign w:val="center"/>
          </w:tcPr>
          <w:p w14:paraId="188E6035">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w:t>
            </w:r>
          </w:p>
        </w:tc>
      </w:tr>
      <w:tr w14:paraId="296D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879" w:type="dxa"/>
            <w:vAlign w:val="center"/>
          </w:tcPr>
          <w:p w14:paraId="589CDDE1">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1人</w:t>
            </w:r>
          </w:p>
        </w:tc>
        <w:tc>
          <w:tcPr>
            <w:tcW w:w="1880" w:type="dxa"/>
            <w:vAlign w:val="center"/>
          </w:tcPr>
          <w:p w14:paraId="5BD34287">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2人</w:t>
            </w:r>
          </w:p>
        </w:tc>
        <w:tc>
          <w:tcPr>
            <w:tcW w:w="1880" w:type="dxa"/>
            <w:vAlign w:val="center"/>
          </w:tcPr>
          <w:p w14:paraId="3810C48F">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3人</w:t>
            </w:r>
          </w:p>
        </w:tc>
        <w:tc>
          <w:tcPr>
            <w:tcW w:w="1880" w:type="dxa"/>
            <w:vAlign w:val="center"/>
          </w:tcPr>
          <w:p w14:paraId="02B36B53">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以此类推</w:t>
            </w:r>
          </w:p>
        </w:tc>
      </w:tr>
    </w:tbl>
    <w:p w14:paraId="4C5FE442">
      <w:pPr>
        <w:pStyle w:val="5"/>
        <w:keepNext w:val="0"/>
        <w:keepLines w:val="0"/>
        <w:pageBreakBefore w:val="0"/>
        <w:widowControl/>
        <w:kinsoku/>
        <w:wordWrap/>
        <w:overflowPunct/>
        <w:topLinePunct w:val="0"/>
        <w:autoSpaceDE/>
        <w:autoSpaceDN/>
        <w:bidi w:val="0"/>
        <w:adjustRightInd/>
        <w:snapToGrid/>
        <w:ind w:firstLine="403"/>
        <w:jc w:val="both"/>
        <w:textAlignment w:val="auto"/>
        <w:rPr>
          <w:highlight w:val="none"/>
        </w:rPr>
      </w:pPr>
      <w:r>
        <w:rPr>
          <w:rFonts w:ascii="仿宋_GB2312" w:hAnsi="仿宋_GB2312" w:eastAsia="仿宋_GB2312" w:cs="仿宋_GB2312"/>
          <w:sz w:val="20"/>
          <w:highlight w:val="none"/>
        </w:rPr>
        <w:t>（2）因季节性养护工作、应急保障、抗台抢险的需要，中标人应根据需要另行增加工人参与养护工作。</w:t>
      </w:r>
    </w:p>
    <w:p w14:paraId="4AD56F5D">
      <w:pPr>
        <w:pStyle w:val="5"/>
        <w:ind w:firstLine="400"/>
        <w:jc w:val="both"/>
        <w:rPr>
          <w:highlight w:val="none"/>
        </w:rPr>
      </w:pPr>
      <w:r>
        <w:rPr>
          <w:rFonts w:ascii="仿宋_GB2312" w:hAnsi="仿宋_GB2312" w:eastAsia="仿宋_GB2312" w:cs="仿宋_GB2312"/>
          <w:sz w:val="20"/>
          <w:highlight w:val="none"/>
        </w:rPr>
        <w:t>（3）配备人数中包含项目负责人、技术负责人、中级职称技术人员、养护各工种人员（高级工、中级工）、普工、特种作业人员等。</w:t>
      </w:r>
    </w:p>
    <w:p w14:paraId="2E85D0AF">
      <w:pPr>
        <w:pStyle w:val="5"/>
        <w:jc w:val="both"/>
        <w:rPr>
          <w:highlight w:val="none"/>
        </w:rPr>
      </w:pPr>
      <w:r>
        <w:rPr>
          <w:rFonts w:ascii="仿宋_GB2312" w:hAnsi="仿宋_GB2312" w:eastAsia="仿宋_GB2312" w:cs="仿宋_GB2312"/>
          <w:sz w:val="20"/>
          <w:highlight w:val="none"/>
        </w:rPr>
        <w:t>2、车辆基础配置</w:t>
      </w:r>
    </w:p>
    <w:p w14:paraId="78E171B1">
      <w:pPr>
        <w:pStyle w:val="5"/>
        <w:ind w:firstLine="400"/>
        <w:jc w:val="both"/>
        <w:rPr>
          <w:rFonts w:ascii="仿宋_GB2312" w:hAnsi="仿宋_GB2312" w:eastAsia="仿宋_GB2312" w:cs="仿宋_GB2312"/>
          <w:sz w:val="20"/>
          <w:highlight w:val="none"/>
        </w:rPr>
      </w:pPr>
      <w:r>
        <w:rPr>
          <w:rFonts w:ascii="仿宋_GB2312" w:hAnsi="仿宋_GB2312" w:eastAsia="仿宋_GB2312" w:cs="仿宋_GB2312"/>
          <w:sz w:val="20"/>
          <w:highlight w:val="none"/>
        </w:rPr>
        <w:t>（1）中标人应以实际接收面积为基准，按每1万平方米对应1吨核定载质量的标准，完成洒水车吨位（核定载质量）的换算与车辆配置工作</w:t>
      </w:r>
      <w:r>
        <w:rPr>
          <w:rFonts w:hint="eastAsia" w:ascii="仿宋_GB2312" w:hAnsi="仿宋_GB2312" w:eastAsia="仿宋_GB2312" w:cs="仿宋_GB2312"/>
          <w:sz w:val="20"/>
          <w:highlight w:val="none"/>
          <w:lang w:eastAsia="zh-CN"/>
        </w:rPr>
        <w:t>（详见下表）</w:t>
      </w:r>
      <w:r>
        <w:rPr>
          <w:rFonts w:ascii="仿宋_GB2312" w:hAnsi="仿宋_GB2312" w:eastAsia="仿宋_GB2312" w:cs="仿宋_GB2312"/>
          <w:sz w:val="20"/>
          <w:highlight w:val="none"/>
        </w:rPr>
        <w:t>。本项目的洒水车不得与采购人其他项目共享。</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880"/>
        <w:gridCol w:w="1880"/>
        <w:gridCol w:w="1880"/>
      </w:tblGrid>
      <w:tr w14:paraId="7584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879" w:type="dxa"/>
            <w:vAlign w:val="center"/>
          </w:tcPr>
          <w:p w14:paraId="02F04E40">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1-10000</w:t>
            </w:r>
            <w:r>
              <w:rPr>
                <w:rFonts w:ascii="仿宋_GB2312" w:hAnsi="仿宋_GB2312" w:eastAsia="仿宋_GB2312" w:cs="仿宋_GB2312"/>
                <w:sz w:val="20"/>
                <w:highlight w:val="none"/>
              </w:rPr>
              <w:t>㎡</w:t>
            </w:r>
          </w:p>
        </w:tc>
        <w:tc>
          <w:tcPr>
            <w:tcW w:w="1880" w:type="dxa"/>
            <w:vAlign w:val="center"/>
          </w:tcPr>
          <w:p w14:paraId="402750C7">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10001-20000</w:t>
            </w:r>
            <w:r>
              <w:rPr>
                <w:rFonts w:ascii="仿宋_GB2312" w:hAnsi="仿宋_GB2312" w:eastAsia="仿宋_GB2312" w:cs="仿宋_GB2312"/>
                <w:sz w:val="20"/>
                <w:highlight w:val="none"/>
              </w:rPr>
              <w:t>㎡</w:t>
            </w:r>
          </w:p>
        </w:tc>
        <w:tc>
          <w:tcPr>
            <w:tcW w:w="1880" w:type="dxa"/>
            <w:vAlign w:val="center"/>
          </w:tcPr>
          <w:p w14:paraId="387E8764">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20001-30000</w:t>
            </w:r>
            <w:r>
              <w:rPr>
                <w:rFonts w:ascii="仿宋_GB2312" w:hAnsi="仿宋_GB2312" w:eastAsia="仿宋_GB2312" w:cs="仿宋_GB2312"/>
                <w:sz w:val="20"/>
                <w:highlight w:val="none"/>
              </w:rPr>
              <w:t>㎡</w:t>
            </w:r>
          </w:p>
        </w:tc>
        <w:tc>
          <w:tcPr>
            <w:tcW w:w="1880" w:type="dxa"/>
            <w:vAlign w:val="center"/>
          </w:tcPr>
          <w:p w14:paraId="412CAD00">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w:t>
            </w:r>
          </w:p>
        </w:tc>
      </w:tr>
      <w:tr w14:paraId="299C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jc w:val="center"/>
        </w:trPr>
        <w:tc>
          <w:tcPr>
            <w:tcW w:w="1879" w:type="dxa"/>
            <w:vAlign w:val="center"/>
          </w:tcPr>
          <w:p w14:paraId="6F7C1709">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1吨</w:t>
            </w:r>
          </w:p>
        </w:tc>
        <w:tc>
          <w:tcPr>
            <w:tcW w:w="1880" w:type="dxa"/>
            <w:vAlign w:val="center"/>
          </w:tcPr>
          <w:p w14:paraId="4625F5F7">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2吨</w:t>
            </w:r>
          </w:p>
        </w:tc>
        <w:tc>
          <w:tcPr>
            <w:tcW w:w="1880" w:type="dxa"/>
            <w:vAlign w:val="center"/>
          </w:tcPr>
          <w:p w14:paraId="7F92DD9C">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3吨</w:t>
            </w:r>
          </w:p>
        </w:tc>
        <w:tc>
          <w:tcPr>
            <w:tcW w:w="1880" w:type="dxa"/>
            <w:vAlign w:val="center"/>
          </w:tcPr>
          <w:p w14:paraId="4B867B66">
            <w:pPr>
              <w:pStyle w:val="5"/>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sz w:val="20"/>
                <w:highlight w:val="none"/>
                <w:vertAlign w:val="baseline"/>
                <w:lang w:val="en-US" w:eastAsia="zh-CN"/>
              </w:rPr>
            </w:pPr>
            <w:r>
              <w:rPr>
                <w:rFonts w:hint="eastAsia" w:ascii="仿宋_GB2312" w:hAnsi="仿宋_GB2312" w:eastAsia="仿宋_GB2312" w:cs="仿宋_GB2312"/>
                <w:sz w:val="20"/>
                <w:highlight w:val="none"/>
                <w:vertAlign w:val="baseline"/>
                <w:lang w:val="en-US" w:eastAsia="zh-CN"/>
              </w:rPr>
              <w:t>以此类推</w:t>
            </w:r>
          </w:p>
        </w:tc>
      </w:tr>
    </w:tbl>
    <w:p w14:paraId="3BB6536A">
      <w:pPr>
        <w:pStyle w:val="5"/>
        <w:ind w:firstLine="400"/>
        <w:jc w:val="both"/>
        <w:rPr>
          <w:rFonts w:ascii="仿宋_GB2312" w:hAnsi="仿宋_GB2312" w:eastAsia="仿宋_GB2312" w:cs="仿宋_GB2312"/>
          <w:sz w:val="20"/>
          <w:highlight w:val="none"/>
        </w:rPr>
      </w:pPr>
    </w:p>
    <w:p w14:paraId="3C89FA5D">
      <w:pPr>
        <w:pStyle w:val="5"/>
        <w:ind w:firstLine="400"/>
        <w:jc w:val="both"/>
        <w:rPr>
          <w:highlight w:val="none"/>
        </w:rPr>
      </w:pPr>
      <w:r>
        <w:rPr>
          <w:rFonts w:ascii="仿宋_GB2312" w:hAnsi="仿宋_GB2312" w:eastAsia="仿宋_GB2312" w:cs="仿宋_GB2312"/>
          <w:sz w:val="20"/>
          <w:highlight w:val="none"/>
        </w:rPr>
        <w:t>（2）其他养护作业车辆由中标人根据作业实际需求自行配备，须满足本项目养护作业需求。</w:t>
      </w:r>
    </w:p>
    <w:p w14:paraId="2330D86D">
      <w:pPr>
        <w:pStyle w:val="5"/>
        <w:ind w:firstLine="400"/>
        <w:jc w:val="both"/>
        <w:rPr>
          <w:highlight w:val="none"/>
        </w:rPr>
      </w:pPr>
      <w:r>
        <w:rPr>
          <w:rFonts w:ascii="仿宋_GB2312" w:hAnsi="仿宋_GB2312" w:eastAsia="仿宋_GB2312" w:cs="仿宋_GB2312"/>
          <w:sz w:val="20"/>
          <w:highlight w:val="none"/>
        </w:rPr>
        <w:t>（3）常用作业车辆如下：中型专项作业车（高空车）、中型载货专项作业车（喷药车）、轻型非载货车专项作业车辆（防撞车）、轻型普通货车（含皮卡车、小货车、</w:t>
      </w:r>
      <w:r>
        <w:rPr>
          <w:rFonts w:hint="eastAsia" w:ascii="仿宋_GB2312" w:hAnsi="仿宋_GB2312" w:eastAsia="仿宋_GB2312" w:cs="仿宋_GB2312"/>
          <w:sz w:val="20"/>
          <w:highlight w:val="none"/>
          <w:lang w:val="en-US" w:eastAsia="zh-CN"/>
        </w:rPr>
        <w:t>厢式</w:t>
      </w:r>
      <w:r>
        <w:rPr>
          <w:rFonts w:ascii="仿宋_GB2312" w:hAnsi="仿宋_GB2312" w:eastAsia="仿宋_GB2312" w:cs="仿宋_GB2312"/>
          <w:sz w:val="20"/>
          <w:highlight w:val="none"/>
        </w:rPr>
        <w:t>货车）、重型普通货车（含大货车、自吊车）、重型特殊结构货车（含大吊车、压缩车）等。</w:t>
      </w:r>
    </w:p>
    <w:p w14:paraId="1D80067B">
      <w:pPr>
        <w:pStyle w:val="5"/>
        <w:ind w:firstLine="400"/>
        <w:jc w:val="both"/>
        <w:rPr>
          <w:highlight w:val="none"/>
        </w:rPr>
      </w:pPr>
      <w:r>
        <w:rPr>
          <w:rFonts w:ascii="仿宋_GB2312" w:hAnsi="仿宋_GB2312" w:eastAsia="仿宋_GB2312" w:cs="仿宋_GB2312"/>
          <w:sz w:val="20"/>
          <w:highlight w:val="none"/>
        </w:rPr>
        <w:t>（4）所有车辆为中标人自有或租赁，服务期内须确保所有车辆均能正常使用，车辆若在合同期内发生变更、转让、报废等情形，须征得采购人同意，并在采购人规定时间内完成车辆的配备补齐。</w:t>
      </w:r>
    </w:p>
    <w:p w14:paraId="54E7E10A">
      <w:pPr>
        <w:pStyle w:val="5"/>
        <w:jc w:val="both"/>
        <w:rPr>
          <w:highlight w:val="none"/>
        </w:rPr>
      </w:pPr>
      <w:r>
        <w:rPr>
          <w:rFonts w:ascii="仿宋_GB2312" w:hAnsi="仿宋_GB2312" w:eastAsia="仿宋_GB2312" w:cs="仿宋_GB2312"/>
          <w:b/>
          <w:sz w:val="20"/>
          <w:highlight w:val="none"/>
        </w:rPr>
        <w:t>★（二）道路绿化社会化养护基本作业内容</w:t>
      </w:r>
    </w:p>
    <w:tbl>
      <w:tblPr>
        <w:tblStyle w:val="2"/>
        <w:tblW w:w="0" w:type="auto"/>
        <w:tblInd w:w="27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9"/>
        <w:gridCol w:w="7367"/>
      </w:tblGrid>
      <w:tr w14:paraId="6EE216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0A1980BB">
            <w:pPr>
              <w:pStyle w:val="5"/>
              <w:jc w:val="center"/>
              <w:rPr>
                <w:highlight w:val="none"/>
              </w:rPr>
            </w:pPr>
            <w:r>
              <w:rPr>
                <w:rFonts w:ascii="仿宋_GB2312" w:hAnsi="仿宋_GB2312" w:eastAsia="仿宋_GB2312" w:cs="仿宋_GB2312"/>
                <w:b/>
                <w:sz w:val="20"/>
                <w:highlight w:val="none"/>
              </w:rPr>
              <w:t>序号</w:t>
            </w:r>
          </w:p>
        </w:tc>
        <w:tc>
          <w:tcPr>
            <w:tcW w:w="7591"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0A36EF2A">
            <w:pPr>
              <w:pStyle w:val="5"/>
              <w:jc w:val="center"/>
              <w:rPr>
                <w:highlight w:val="none"/>
              </w:rPr>
            </w:pPr>
            <w:r>
              <w:rPr>
                <w:rFonts w:ascii="仿宋_GB2312" w:hAnsi="仿宋_GB2312" w:eastAsia="仿宋_GB2312" w:cs="仿宋_GB2312"/>
                <w:b/>
                <w:sz w:val="20"/>
                <w:highlight w:val="none"/>
              </w:rPr>
              <w:t>基本作业内容</w:t>
            </w:r>
          </w:p>
        </w:tc>
      </w:tr>
      <w:tr w14:paraId="3F8F37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7C29BE9A">
            <w:pPr>
              <w:pStyle w:val="5"/>
              <w:jc w:val="center"/>
              <w:rPr>
                <w:highlight w:val="none"/>
              </w:rPr>
            </w:pPr>
            <w:r>
              <w:rPr>
                <w:rFonts w:ascii="仿宋_GB2312" w:hAnsi="仿宋_GB2312" w:eastAsia="仿宋_GB2312" w:cs="仿宋_GB2312"/>
                <w:sz w:val="20"/>
                <w:highlight w:val="none"/>
              </w:rPr>
              <w:t>1</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14:paraId="681FA98F">
            <w:pPr>
              <w:pStyle w:val="5"/>
              <w:jc w:val="left"/>
              <w:rPr>
                <w:highlight w:val="none"/>
              </w:rPr>
            </w:pPr>
            <w:r>
              <w:rPr>
                <w:rFonts w:ascii="仿宋_GB2312" w:hAnsi="仿宋_GB2312" w:eastAsia="仿宋_GB2312" w:cs="仿宋_GB2312"/>
                <w:sz w:val="20"/>
                <w:highlight w:val="none"/>
              </w:rPr>
              <w:t>植物养护作业（修剪、除草、松土、淋水、抹芽、施肥、加固作业等）；</w:t>
            </w:r>
          </w:p>
        </w:tc>
      </w:tr>
      <w:tr w14:paraId="7B55EE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34F61425">
            <w:pPr>
              <w:pStyle w:val="5"/>
              <w:jc w:val="center"/>
              <w:rPr>
                <w:highlight w:val="none"/>
              </w:rPr>
            </w:pPr>
            <w:r>
              <w:rPr>
                <w:rFonts w:ascii="仿宋_GB2312" w:hAnsi="仿宋_GB2312" w:eastAsia="仿宋_GB2312" w:cs="仿宋_GB2312"/>
                <w:sz w:val="20"/>
                <w:highlight w:val="none"/>
              </w:rPr>
              <w:t>2</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14:paraId="267FFA8F">
            <w:pPr>
              <w:pStyle w:val="5"/>
              <w:jc w:val="left"/>
              <w:rPr>
                <w:highlight w:val="none"/>
              </w:rPr>
            </w:pPr>
            <w:r>
              <w:rPr>
                <w:rFonts w:ascii="仿宋_GB2312" w:hAnsi="仿宋_GB2312" w:eastAsia="仿宋_GB2312" w:cs="仿宋_GB2312"/>
                <w:sz w:val="20"/>
                <w:highlight w:val="none"/>
              </w:rPr>
              <w:t>行道树日常养护修剪（除每年修剪一次外，根据品种不同，业主可以指定进行相应的修剪，不含专项修剪）</w:t>
            </w:r>
          </w:p>
        </w:tc>
      </w:tr>
      <w:tr w14:paraId="444E77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57C16A2A">
            <w:pPr>
              <w:pStyle w:val="5"/>
              <w:jc w:val="center"/>
              <w:rPr>
                <w:highlight w:val="none"/>
              </w:rPr>
            </w:pPr>
            <w:r>
              <w:rPr>
                <w:rFonts w:ascii="仿宋_GB2312" w:hAnsi="仿宋_GB2312" w:eastAsia="仿宋_GB2312" w:cs="仿宋_GB2312"/>
                <w:sz w:val="20"/>
                <w:highlight w:val="none"/>
              </w:rPr>
              <w:t>3</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14:paraId="465DDCA2">
            <w:pPr>
              <w:pStyle w:val="5"/>
              <w:jc w:val="both"/>
              <w:rPr>
                <w:highlight w:val="none"/>
              </w:rPr>
            </w:pPr>
            <w:r>
              <w:rPr>
                <w:rFonts w:ascii="仿宋_GB2312" w:hAnsi="仿宋_GB2312" w:eastAsia="仿宋_GB2312" w:cs="仿宋_GB2312"/>
                <w:sz w:val="20"/>
                <w:highlight w:val="none"/>
              </w:rPr>
              <w:t>绿地上乔木【修剪枯病枝、下垂枝、病虫害防治等（含白蚁和红火蚁）】、灌木的修剪；绿地内多余土壤、小石块清理；</w:t>
            </w:r>
          </w:p>
        </w:tc>
      </w:tr>
      <w:tr w14:paraId="4EB38F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4384546D">
            <w:pPr>
              <w:pStyle w:val="5"/>
              <w:jc w:val="center"/>
              <w:rPr>
                <w:highlight w:val="none"/>
              </w:rPr>
            </w:pPr>
            <w:r>
              <w:rPr>
                <w:rFonts w:ascii="仿宋_GB2312" w:hAnsi="仿宋_GB2312" w:eastAsia="仿宋_GB2312" w:cs="仿宋_GB2312"/>
                <w:sz w:val="20"/>
                <w:highlight w:val="none"/>
              </w:rPr>
              <w:t>4</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14:paraId="0E2AE0A1">
            <w:pPr>
              <w:pStyle w:val="5"/>
              <w:jc w:val="both"/>
              <w:rPr>
                <w:highlight w:val="none"/>
              </w:rPr>
            </w:pPr>
            <w:r>
              <w:rPr>
                <w:rFonts w:ascii="仿宋_GB2312" w:hAnsi="仿宋_GB2312" w:eastAsia="仿宋_GB2312" w:cs="仿宋_GB2312"/>
                <w:sz w:val="20"/>
                <w:highlight w:val="none"/>
              </w:rPr>
              <w:t>交通、市政、监控等设施涉及的专项修剪；</w:t>
            </w:r>
          </w:p>
        </w:tc>
      </w:tr>
      <w:tr w14:paraId="7B3A7C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3333D969">
            <w:pPr>
              <w:pStyle w:val="5"/>
              <w:jc w:val="center"/>
              <w:rPr>
                <w:highlight w:val="none"/>
              </w:rPr>
            </w:pPr>
            <w:r>
              <w:rPr>
                <w:rFonts w:ascii="仿宋_GB2312" w:hAnsi="仿宋_GB2312" w:eastAsia="仿宋_GB2312" w:cs="仿宋_GB2312"/>
                <w:sz w:val="20"/>
                <w:highlight w:val="none"/>
              </w:rPr>
              <w:t>5</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14:paraId="4DEA351C">
            <w:pPr>
              <w:pStyle w:val="5"/>
              <w:jc w:val="both"/>
              <w:rPr>
                <w:highlight w:val="none"/>
              </w:rPr>
            </w:pPr>
            <w:r>
              <w:rPr>
                <w:rFonts w:ascii="仿宋_GB2312" w:hAnsi="仿宋_GB2312" w:eastAsia="仿宋_GB2312" w:cs="仿宋_GB2312"/>
                <w:sz w:val="20"/>
                <w:highlight w:val="none"/>
              </w:rPr>
              <w:t>绿地内的园林设施（树池蓖、护树架、护栏、木栈道、桌椅凳、雨水沟等）维修维护；</w:t>
            </w:r>
          </w:p>
        </w:tc>
      </w:tr>
      <w:tr w14:paraId="3ADD00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75751274">
            <w:pPr>
              <w:pStyle w:val="5"/>
              <w:jc w:val="center"/>
              <w:rPr>
                <w:highlight w:val="none"/>
              </w:rPr>
            </w:pPr>
            <w:r>
              <w:rPr>
                <w:rFonts w:ascii="仿宋_GB2312" w:hAnsi="仿宋_GB2312" w:eastAsia="仿宋_GB2312" w:cs="仿宋_GB2312"/>
                <w:sz w:val="20"/>
                <w:highlight w:val="none"/>
              </w:rPr>
              <w:t>6</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14:paraId="6517DF98">
            <w:pPr>
              <w:pStyle w:val="5"/>
              <w:jc w:val="both"/>
              <w:rPr>
                <w:highlight w:val="none"/>
              </w:rPr>
            </w:pPr>
            <w:r>
              <w:rPr>
                <w:rFonts w:ascii="仿宋_GB2312" w:hAnsi="仿宋_GB2312" w:eastAsia="仿宋_GB2312" w:cs="仿宋_GB2312"/>
                <w:sz w:val="20"/>
                <w:highlight w:val="none"/>
              </w:rPr>
              <w:t>园路（休闲道、绿道等）、广场等硬质铺装日常巡查、维修、维护；</w:t>
            </w:r>
          </w:p>
        </w:tc>
      </w:tr>
      <w:tr w14:paraId="483FAA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5DC6F00F">
            <w:pPr>
              <w:pStyle w:val="5"/>
              <w:jc w:val="center"/>
              <w:rPr>
                <w:highlight w:val="none"/>
              </w:rPr>
            </w:pPr>
            <w:r>
              <w:rPr>
                <w:rFonts w:ascii="仿宋_GB2312" w:hAnsi="仿宋_GB2312" w:eastAsia="仿宋_GB2312" w:cs="仿宋_GB2312"/>
                <w:sz w:val="20"/>
                <w:highlight w:val="none"/>
              </w:rPr>
              <w:t>7</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14:paraId="18A49177">
            <w:pPr>
              <w:pStyle w:val="5"/>
              <w:jc w:val="left"/>
              <w:rPr>
                <w:highlight w:val="none"/>
              </w:rPr>
            </w:pPr>
            <w:r>
              <w:rPr>
                <w:rFonts w:ascii="仿宋_GB2312" w:hAnsi="仿宋_GB2312" w:eastAsia="仿宋_GB2312" w:cs="仿宋_GB2312"/>
                <w:sz w:val="20"/>
                <w:highlight w:val="none"/>
              </w:rPr>
              <w:t>儿童游乐设施安全检查、维修维护，采购人要求的安装探头监控；</w:t>
            </w:r>
          </w:p>
        </w:tc>
      </w:tr>
      <w:tr w14:paraId="3E7C92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1E15A9BC">
            <w:pPr>
              <w:pStyle w:val="5"/>
              <w:jc w:val="center"/>
              <w:rPr>
                <w:highlight w:val="none"/>
              </w:rPr>
            </w:pPr>
            <w:r>
              <w:rPr>
                <w:rFonts w:ascii="仿宋_GB2312" w:hAnsi="仿宋_GB2312" w:eastAsia="仿宋_GB2312" w:cs="仿宋_GB2312"/>
                <w:sz w:val="20"/>
                <w:highlight w:val="none"/>
              </w:rPr>
              <w:t>8</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14:paraId="237AEF0C">
            <w:pPr>
              <w:pStyle w:val="5"/>
              <w:jc w:val="both"/>
              <w:rPr>
                <w:highlight w:val="none"/>
              </w:rPr>
            </w:pPr>
            <w:r>
              <w:rPr>
                <w:rFonts w:ascii="仿宋_GB2312" w:hAnsi="仿宋_GB2312" w:eastAsia="仿宋_GB2312" w:cs="仿宋_GB2312"/>
                <w:sz w:val="20"/>
                <w:highlight w:val="none"/>
              </w:rPr>
              <w:t>信息处置，及时查阅各类诉求件、数字城管案件；</w:t>
            </w:r>
          </w:p>
        </w:tc>
      </w:tr>
      <w:tr w14:paraId="49C876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28603436">
            <w:pPr>
              <w:pStyle w:val="5"/>
              <w:jc w:val="center"/>
              <w:rPr>
                <w:highlight w:val="none"/>
              </w:rPr>
            </w:pPr>
            <w:r>
              <w:rPr>
                <w:rFonts w:ascii="仿宋_GB2312" w:hAnsi="仿宋_GB2312" w:eastAsia="仿宋_GB2312" w:cs="仿宋_GB2312"/>
                <w:sz w:val="20"/>
                <w:highlight w:val="none"/>
              </w:rPr>
              <w:t>9</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14:paraId="028873A7">
            <w:pPr>
              <w:pStyle w:val="5"/>
              <w:jc w:val="both"/>
              <w:rPr>
                <w:highlight w:val="none"/>
              </w:rPr>
            </w:pPr>
            <w:r>
              <w:rPr>
                <w:rFonts w:ascii="仿宋_GB2312" w:hAnsi="仿宋_GB2312" w:eastAsia="仿宋_GB2312" w:cs="仿宋_GB2312"/>
                <w:sz w:val="20"/>
                <w:highlight w:val="none"/>
              </w:rPr>
              <w:t>组织实施日常病虫害防治工作，白蚁和红火蚁纳入综合防治工作中；</w:t>
            </w:r>
          </w:p>
        </w:tc>
      </w:tr>
      <w:tr w14:paraId="300C04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80BA2F1">
            <w:pPr>
              <w:pStyle w:val="5"/>
              <w:jc w:val="center"/>
              <w:rPr>
                <w:highlight w:val="none"/>
              </w:rPr>
            </w:pPr>
            <w:r>
              <w:rPr>
                <w:rFonts w:ascii="仿宋_GB2312" w:hAnsi="仿宋_GB2312" w:eastAsia="仿宋_GB2312" w:cs="仿宋_GB2312"/>
                <w:sz w:val="20"/>
                <w:highlight w:val="none"/>
              </w:rPr>
              <w:t>10</w:t>
            </w:r>
          </w:p>
        </w:tc>
        <w:tc>
          <w:tcPr>
            <w:tcW w:w="7591"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14:paraId="658051FC">
            <w:pPr>
              <w:pStyle w:val="5"/>
              <w:jc w:val="both"/>
              <w:rPr>
                <w:highlight w:val="none"/>
              </w:rPr>
            </w:pPr>
            <w:r>
              <w:rPr>
                <w:rFonts w:ascii="仿宋_GB2312" w:hAnsi="仿宋_GB2312" w:eastAsia="仿宋_GB2312" w:cs="仿宋_GB2312"/>
                <w:sz w:val="20"/>
                <w:highlight w:val="none"/>
              </w:rPr>
              <w:t>一般性抢险任务（除福州市减灾委、福州市应急局启动福州市自然灾害救助IV及以上应急响应的通知以外）</w:t>
            </w:r>
          </w:p>
        </w:tc>
      </w:tr>
      <w:tr w14:paraId="23B5AB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2470C4D6">
            <w:pPr>
              <w:pStyle w:val="5"/>
              <w:jc w:val="center"/>
              <w:rPr>
                <w:highlight w:val="none"/>
              </w:rPr>
            </w:pPr>
            <w:r>
              <w:rPr>
                <w:rFonts w:ascii="仿宋_GB2312" w:hAnsi="仿宋_GB2312" w:eastAsia="仿宋_GB2312" w:cs="仿宋_GB2312"/>
                <w:sz w:val="20"/>
                <w:highlight w:val="none"/>
              </w:rPr>
              <w:t>11</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14:paraId="19A67A4A">
            <w:pPr>
              <w:pStyle w:val="5"/>
              <w:jc w:val="both"/>
              <w:rPr>
                <w:highlight w:val="none"/>
              </w:rPr>
            </w:pPr>
            <w:r>
              <w:rPr>
                <w:rFonts w:ascii="仿宋_GB2312" w:hAnsi="仿宋_GB2312" w:eastAsia="仿宋_GB2312" w:cs="仿宋_GB2312"/>
                <w:sz w:val="20"/>
                <w:highlight w:val="none"/>
              </w:rPr>
              <w:t>抗旱保苗、防寒防冻措施；</w:t>
            </w:r>
          </w:p>
        </w:tc>
      </w:tr>
      <w:tr w14:paraId="1E96F3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7404FA7E">
            <w:pPr>
              <w:pStyle w:val="5"/>
              <w:jc w:val="center"/>
              <w:rPr>
                <w:highlight w:val="none"/>
              </w:rPr>
            </w:pPr>
            <w:r>
              <w:rPr>
                <w:rFonts w:ascii="仿宋_GB2312" w:hAnsi="仿宋_GB2312" w:eastAsia="仿宋_GB2312" w:cs="仿宋_GB2312"/>
                <w:sz w:val="20"/>
                <w:highlight w:val="none"/>
              </w:rPr>
              <w:t>12</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14:paraId="1A6A1F68">
            <w:pPr>
              <w:pStyle w:val="5"/>
              <w:jc w:val="both"/>
              <w:rPr>
                <w:highlight w:val="none"/>
              </w:rPr>
            </w:pPr>
            <w:r>
              <w:rPr>
                <w:rFonts w:ascii="仿宋_GB2312" w:hAnsi="仿宋_GB2312" w:eastAsia="仿宋_GB2312" w:cs="仿宋_GB2312"/>
                <w:sz w:val="20"/>
                <w:highlight w:val="none"/>
              </w:rPr>
              <w:t>园林养护废弃物收集清运；</w:t>
            </w:r>
          </w:p>
        </w:tc>
      </w:tr>
      <w:tr w14:paraId="71D623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5767756E">
            <w:pPr>
              <w:pStyle w:val="5"/>
              <w:jc w:val="center"/>
              <w:rPr>
                <w:rFonts w:hint="default"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13</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14:paraId="21BCCE53">
            <w:pPr>
              <w:pStyle w:val="5"/>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rPr>
              <w:t>养护方须常态化巡查所辖绿地，因巡查疏漏造成建筑垃圾偷倒堆积的，清运、复绿所有费用由养护企业自行承担</w:t>
            </w:r>
            <w:r>
              <w:rPr>
                <w:rFonts w:hint="eastAsia" w:ascii="仿宋_GB2312" w:hAnsi="仿宋_GB2312" w:eastAsia="仿宋_GB2312" w:cs="仿宋_GB2312"/>
                <w:sz w:val="20"/>
                <w:highlight w:val="none"/>
                <w:lang w:eastAsia="zh-CN"/>
              </w:rPr>
              <w:t>；</w:t>
            </w:r>
          </w:p>
        </w:tc>
      </w:tr>
      <w:tr w14:paraId="0EEFD4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179152D7">
            <w:pPr>
              <w:pStyle w:val="5"/>
              <w:jc w:val="center"/>
              <w:rPr>
                <w:rFonts w:hint="eastAsia" w:eastAsia="仿宋_GB2312"/>
                <w:highlight w:val="none"/>
                <w:lang w:val="en-US" w:eastAsia="zh-CN"/>
              </w:rPr>
            </w:pPr>
            <w:r>
              <w:rPr>
                <w:rFonts w:ascii="仿宋_GB2312" w:hAnsi="仿宋_GB2312" w:eastAsia="仿宋_GB2312" w:cs="仿宋_GB2312"/>
                <w:sz w:val="20"/>
                <w:highlight w:val="none"/>
              </w:rPr>
              <w:t>1</w:t>
            </w:r>
            <w:r>
              <w:rPr>
                <w:rFonts w:hint="eastAsia" w:ascii="仿宋_GB2312" w:hAnsi="仿宋_GB2312" w:eastAsia="仿宋_GB2312" w:cs="仿宋_GB2312"/>
                <w:sz w:val="20"/>
                <w:highlight w:val="none"/>
                <w:lang w:val="en-US" w:eastAsia="zh-CN"/>
              </w:rPr>
              <w:t>4</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14:paraId="64E9B5C0">
            <w:pPr>
              <w:pStyle w:val="5"/>
              <w:jc w:val="both"/>
              <w:rPr>
                <w:highlight w:val="none"/>
              </w:rPr>
            </w:pPr>
            <w:r>
              <w:rPr>
                <w:rFonts w:ascii="仿宋_GB2312" w:hAnsi="仿宋_GB2312" w:eastAsia="仿宋_GB2312" w:cs="仿宋_GB2312"/>
                <w:sz w:val="20"/>
                <w:highlight w:val="none"/>
              </w:rPr>
              <w:t>植物叶面积尘清洗，降尘；</w:t>
            </w:r>
          </w:p>
        </w:tc>
      </w:tr>
      <w:tr w14:paraId="5B4008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26838B66">
            <w:pPr>
              <w:pStyle w:val="5"/>
              <w:jc w:val="center"/>
              <w:rPr>
                <w:rFonts w:hint="eastAsia" w:eastAsia="仿宋_GB2312"/>
                <w:highlight w:val="none"/>
                <w:lang w:eastAsia="zh-CN"/>
              </w:rPr>
            </w:pPr>
            <w:r>
              <w:rPr>
                <w:rFonts w:ascii="仿宋_GB2312" w:hAnsi="仿宋_GB2312" w:eastAsia="仿宋_GB2312" w:cs="仿宋_GB2312"/>
                <w:sz w:val="20"/>
                <w:highlight w:val="none"/>
              </w:rPr>
              <w:t>1</w:t>
            </w:r>
            <w:r>
              <w:rPr>
                <w:rFonts w:hint="eastAsia" w:ascii="仿宋_GB2312" w:hAnsi="仿宋_GB2312" w:eastAsia="仿宋_GB2312" w:cs="仿宋_GB2312"/>
                <w:sz w:val="20"/>
                <w:highlight w:val="none"/>
                <w:lang w:val="en-US" w:eastAsia="zh-CN"/>
              </w:rPr>
              <w:t>5</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14:paraId="4E80AC48">
            <w:pPr>
              <w:pStyle w:val="5"/>
              <w:jc w:val="both"/>
              <w:rPr>
                <w:highlight w:val="none"/>
              </w:rPr>
            </w:pPr>
            <w:r>
              <w:rPr>
                <w:rFonts w:ascii="仿宋_GB2312" w:hAnsi="仿宋_GB2312" w:eastAsia="仿宋_GB2312" w:cs="仿宋_GB2312"/>
                <w:sz w:val="20"/>
                <w:highlight w:val="none"/>
              </w:rPr>
              <w:t>绿化内除“四害”、登革热等环境卫生保障工作；</w:t>
            </w:r>
          </w:p>
        </w:tc>
      </w:tr>
      <w:tr w14:paraId="46D6EE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10F4E05A">
            <w:pPr>
              <w:pStyle w:val="5"/>
              <w:jc w:val="center"/>
              <w:rPr>
                <w:rFonts w:hint="eastAsia" w:eastAsia="仿宋_GB2312"/>
                <w:highlight w:val="none"/>
                <w:lang w:eastAsia="zh-CN"/>
              </w:rPr>
            </w:pPr>
            <w:r>
              <w:rPr>
                <w:rFonts w:ascii="仿宋_GB2312" w:hAnsi="仿宋_GB2312" w:eastAsia="仿宋_GB2312" w:cs="仿宋_GB2312"/>
                <w:sz w:val="20"/>
                <w:highlight w:val="none"/>
              </w:rPr>
              <w:t>1</w:t>
            </w:r>
            <w:r>
              <w:rPr>
                <w:rFonts w:hint="eastAsia" w:ascii="仿宋_GB2312" w:hAnsi="仿宋_GB2312" w:eastAsia="仿宋_GB2312" w:cs="仿宋_GB2312"/>
                <w:sz w:val="20"/>
                <w:highlight w:val="none"/>
                <w:lang w:val="en-US" w:eastAsia="zh-CN"/>
              </w:rPr>
              <w:t>6</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14:paraId="53FE2379">
            <w:pPr>
              <w:pStyle w:val="5"/>
              <w:jc w:val="both"/>
              <w:rPr>
                <w:highlight w:val="none"/>
              </w:rPr>
            </w:pPr>
            <w:r>
              <w:rPr>
                <w:rFonts w:ascii="仿宋_GB2312" w:hAnsi="仿宋_GB2312" w:eastAsia="仿宋_GB2312" w:cs="仿宋_GB2312"/>
                <w:sz w:val="20"/>
                <w:highlight w:val="none"/>
              </w:rPr>
              <w:t>日常养护安全生产布控工作；</w:t>
            </w:r>
          </w:p>
        </w:tc>
      </w:tr>
      <w:tr w14:paraId="243917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3AFA8FEC">
            <w:pPr>
              <w:pStyle w:val="5"/>
              <w:jc w:val="center"/>
              <w:rPr>
                <w:rFonts w:hint="eastAsia" w:eastAsia="仿宋_GB2312"/>
                <w:highlight w:val="none"/>
                <w:lang w:eastAsia="zh-CN"/>
              </w:rPr>
            </w:pPr>
            <w:r>
              <w:rPr>
                <w:rFonts w:ascii="仿宋_GB2312" w:hAnsi="仿宋_GB2312" w:eastAsia="仿宋_GB2312" w:cs="仿宋_GB2312"/>
                <w:sz w:val="20"/>
                <w:highlight w:val="none"/>
              </w:rPr>
              <w:t>1</w:t>
            </w:r>
            <w:r>
              <w:rPr>
                <w:rFonts w:hint="eastAsia" w:ascii="仿宋_GB2312" w:hAnsi="仿宋_GB2312" w:eastAsia="仿宋_GB2312" w:cs="仿宋_GB2312"/>
                <w:sz w:val="20"/>
                <w:highlight w:val="none"/>
                <w:lang w:val="en-US" w:eastAsia="zh-CN"/>
              </w:rPr>
              <w:t>7</w:t>
            </w:r>
          </w:p>
        </w:tc>
        <w:tc>
          <w:tcPr>
            <w:tcW w:w="7591" w:type="dxa"/>
            <w:tcBorders>
              <w:top w:val="nil"/>
              <w:left w:val="nil"/>
              <w:bottom w:val="single" w:color="000000" w:sz="4" w:space="0"/>
              <w:right w:val="single" w:color="000000" w:sz="4" w:space="0"/>
            </w:tcBorders>
            <w:tcMar>
              <w:top w:w="15" w:type="dxa"/>
              <w:left w:w="15" w:type="dxa"/>
              <w:bottom w:w="15" w:type="dxa"/>
              <w:right w:w="15" w:type="dxa"/>
            </w:tcMar>
            <w:vAlign w:val="top"/>
          </w:tcPr>
          <w:p w14:paraId="0C66A43B">
            <w:pPr>
              <w:pStyle w:val="5"/>
              <w:jc w:val="both"/>
              <w:rPr>
                <w:highlight w:val="none"/>
              </w:rPr>
            </w:pPr>
            <w:r>
              <w:rPr>
                <w:rFonts w:ascii="仿宋_GB2312" w:hAnsi="仿宋_GB2312" w:eastAsia="仿宋_GB2312" w:cs="仿宋_GB2312"/>
                <w:sz w:val="20"/>
                <w:highlight w:val="none"/>
              </w:rPr>
              <w:t>在服务期内按采购人要求开展相关的调查、观测等工作。</w:t>
            </w:r>
          </w:p>
        </w:tc>
      </w:tr>
      <w:tr w14:paraId="7354CD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2"/>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59A10AFD">
            <w:pPr>
              <w:pStyle w:val="5"/>
              <w:jc w:val="left"/>
              <w:rPr>
                <w:highlight w:val="none"/>
              </w:rPr>
            </w:pPr>
            <w:r>
              <w:rPr>
                <w:rFonts w:ascii="仿宋_GB2312" w:hAnsi="仿宋_GB2312" w:eastAsia="仿宋_GB2312" w:cs="仿宋_GB2312"/>
                <w:b/>
                <w:sz w:val="20"/>
                <w:highlight w:val="none"/>
              </w:rPr>
              <w:t>上述事项作业内容均须包含在投标总价中，采购人不另行支付任何费用。</w:t>
            </w:r>
          </w:p>
        </w:tc>
      </w:tr>
    </w:tbl>
    <w:p w14:paraId="1668F0C0">
      <w:pPr>
        <w:pStyle w:val="5"/>
        <w:jc w:val="both"/>
        <w:rPr>
          <w:highlight w:val="none"/>
        </w:rPr>
      </w:pPr>
      <w:r>
        <w:rPr>
          <w:rFonts w:ascii="仿宋_GB2312" w:hAnsi="仿宋_GB2312" w:eastAsia="仿宋_GB2312" w:cs="仿宋_GB2312"/>
          <w:b/>
          <w:sz w:val="20"/>
          <w:highlight w:val="none"/>
        </w:rPr>
        <w:t>★（三）道路绿化社会化养护由采购人确认，需经评审后据实支付的作业事项</w:t>
      </w:r>
    </w:p>
    <w:tbl>
      <w:tblPr>
        <w:tblStyle w:val="2"/>
        <w:tblW w:w="0" w:type="auto"/>
        <w:tblInd w:w="27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4"/>
        <w:gridCol w:w="7342"/>
      </w:tblGrid>
      <w:tr w14:paraId="69886B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63C5B6E2">
            <w:pPr>
              <w:pStyle w:val="5"/>
              <w:jc w:val="center"/>
              <w:rPr>
                <w:highlight w:val="none"/>
              </w:rPr>
            </w:pPr>
            <w:r>
              <w:rPr>
                <w:rFonts w:ascii="仿宋_GB2312" w:hAnsi="仿宋_GB2312" w:eastAsia="仿宋_GB2312" w:cs="仿宋_GB2312"/>
                <w:b/>
                <w:sz w:val="20"/>
                <w:highlight w:val="none"/>
              </w:rPr>
              <w:t>序号</w:t>
            </w:r>
          </w:p>
        </w:tc>
        <w:tc>
          <w:tcPr>
            <w:tcW w:w="7565"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14:paraId="07165DCC">
            <w:pPr>
              <w:pStyle w:val="5"/>
              <w:jc w:val="center"/>
              <w:rPr>
                <w:highlight w:val="none"/>
              </w:rPr>
            </w:pPr>
            <w:r>
              <w:rPr>
                <w:rFonts w:ascii="仿宋_GB2312" w:hAnsi="仿宋_GB2312" w:eastAsia="仿宋_GB2312" w:cs="仿宋_GB2312"/>
                <w:b/>
                <w:sz w:val="20"/>
                <w:highlight w:val="none"/>
              </w:rPr>
              <w:t>须经评审后据实支付的作业事项</w:t>
            </w:r>
          </w:p>
        </w:tc>
      </w:tr>
      <w:tr w14:paraId="4F5849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7DFB7ACB">
            <w:pPr>
              <w:pStyle w:val="5"/>
              <w:jc w:val="center"/>
              <w:rPr>
                <w:highlight w:val="none"/>
              </w:rPr>
            </w:pPr>
            <w:r>
              <w:rPr>
                <w:rFonts w:ascii="仿宋_GB2312" w:hAnsi="仿宋_GB2312" w:eastAsia="仿宋_GB2312" w:cs="仿宋_GB2312"/>
                <w:sz w:val="20"/>
                <w:highlight w:val="none"/>
              </w:rPr>
              <w:t>1</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25E48736">
            <w:pPr>
              <w:pStyle w:val="5"/>
              <w:jc w:val="left"/>
              <w:rPr>
                <w:highlight w:val="none"/>
              </w:rPr>
            </w:pPr>
            <w:r>
              <w:rPr>
                <w:rFonts w:ascii="仿宋_GB2312" w:hAnsi="仿宋_GB2312" w:eastAsia="仿宋_GB2312" w:cs="仿宋_GB2312"/>
                <w:sz w:val="20"/>
                <w:highlight w:val="none"/>
                <w:shd w:val="clear" w:fill="FFFFFF"/>
              </w:rPr>
              <w:t>抢险救灾</w:t>
            </w:r>
            <w:r>
              <w:rPr>
                <w:rFonts w:ascii="仿宋_GB2312" w:hAnsi="仿宋_GB2312" w:eastAsia="仿宋_GB2312" w:cs="仿宋_GB2312"/>
                <w:sz w:val="20"/>
                <w:highlight w:val="none"/>
              </w:rPr>
              <w:t>（以福州市减灾委、福州市应急局启动福州市自然灾害救助IV（含）以上应急响应的通知为准）：因自然灾害的因素导致的树木歪斜、倒伏、断枝的按照采购人要求在规定时间内完成（有专项资金补助的情况另计），由此产生的人工、机械费用由采购人按照同时期可套取的定额计取实际发生的人工和机械台班费用。树木折断影响树形且无景观价值需要补植的，由采购人进行补植，也可由中标人进行补植，补植费用由采购人按照同时期可参照的信息价进行支付；</w:t>
            </w:r>
          </w:p>
        </w:tc>
      </w:tr>
      <w:tr w14:paraId="228597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4B954093">
            <w:pPr>
              <w:pStyle w:val="5"/>
              <w:jc w:val="center"/>
              <w:rPr>
                <w:highlight w:val="none"/>
              </w:rPr>
            </w:pPr>
            <w:r>
              <w:rPr>
                <w:rFonts w:ascii="仿宋_GB2312" w:hAnsi="仿宋_GB2312" w:eastAsia="仿宋_GB2312" w:cs="仿宋_GB2312"/>
                <w:sz w:val="20"/>
                <w:highlight w:val="none"/>
              </w:rPr>
              <w:t>2</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75C66056">
            <w:pPr>
              <w:pStyle w:val="5"/>
              <w:jc w:val="left"/>
              <w:rPr>
                <w:highlight w:val="none"/>
              </w:rPr>
            </w:pPr>
            <w:r>
              <w:rPr>
                <w:rFonts w:ascii="仿宋_GB2312" w:hAnsi="仿宋_GB2312" w:eastAsia="仿宋_GB2312" w:cs="仿宋_GB2312"/>
                <w:sz w:val="20"/>
                <w:highlight w:val="none"/>
              </w:rPr>
              <w:t>大叶榕、小叶榕或其它树木（含绿地内乔木）需要的专项修剪（控高、缩冠）；树木的专项养护（如：复壮、严重倾斜扶正）；</w:t>
            </w:r>
          </w:p>
        </w:tc>
      </w:tr>
      <w:tr w14:paraId="7E3DA8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58177C30">
            <w:pPr>
              <w:pStyle w:val="5"/>
              <w:jc w:val="center"/>
              <w:rPr>
                <w:highlight w:val="none"/>
              </w:rPr>
            </w:pPr>
            <w:r>
              <w:rPr>
                <w:rFonts w:ascii="仿宋_GB2312" w:hAnsi="仿宋_GB2312" w:eastAsia="仿宋_GB2312" w:cs="仿宋_GB2312"/>
                <w:sz w:val="20"/>
                <w:highlight w:val="none"/>
              </w:rPr>
              <w:t>3</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7B1D81C3">
            <w:pPr>
              <w:pStyle w:val="5"/>
              <w:jc w:val="left"/>
              <w:rPr>
                <w:highlight w:val="none"/>
              </w:rPr>
            </w:pPr>
            <w:r>
              <w:rPr>
                <w:rFonts w:ascii="仿宋_GB2312" w:hAnsi="仿宋_GB2312" w:eastAsia="仿宋_GB2312" w:cs="仿宋_GB2312"/>
                <w:sz w:val="20"/>
                <w:highlight w:val="none"/>
              </w:rPr>
              <w:t>儿童游乐设施更新（需经采购人同意）；</w:t>
            </w:r>
          </w:p>
        </w:tc>
      </w:tr>
      <w:tr w14:paraId="6CD3F9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1FC74380">
            <w:pPr>
              <w:pStyle w:val="5"/>
              <w:jc w:val="center"/>
              <w:rPr>
                <w:highlight w:val="none"/>
              </w:rPr>
            </w:pPr>
            <w:r>
              <w:rPr>
                <w:rFonts w:ascii="仿宋_GB2312" w:hAnsi="仿宋_GB2312" w:eastAsia="仿宋_GB2312" w:cs="仿宋_GB2312"/>
                <w:sz w:val="20"/>
                <w:highlight w:val="none"/>
              </w:rPr>
              <w:t>4</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5874D250">
            <w:pPr>
              <w:pStyle w:val="5"/>
              <w:jc w:val="left"/>
              <w:rPr>
                <w:highlight w:val="none"/>
              </w:rPr>
            </w:pPr>
            <w:r>
              <w:rPr>
                <w:rFonts w:ascii="仿宋_GB2312" w:hAnsi="仿宋_GB2312" w:eastAsia="仿宋_GB2312" w:cs="仿宋_GB2312"/>
                <w:sz w:val="20"/>
                <w:highlight w:val="none"/>
              </w:rPr>
              <w:t>园林设施（木（铁）花架、亭、景墙、碑石、雕塑、宣传栏、防浪墙、景观水体）等（不含灯光夜景及照明设施）维修维护，设施更新（需经采购人同意）；</w:t>
            </w:r>
          </w:p>
        </w:tc>
      </w:tr>
      <w:tr w14:paraId="4282E6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034DB7E9">
            <w:pPr>
              <w:pStyle w:val="5"/>
              <w:jc w:val="center"/>
              <w:rPr>
                <w:highlight w:val="none"/>
              </w:rPr>
            </w:pPr>
            <w:r>
              <w:rPr>
                <w:rFonts w:ascii="仿宋_GB2312" w:hAnsi="仿宋_GB2312" w:eastAsia="仿宋_GB2312" w:cs="仿宋_GB2312"/>
                <w:sz w:val="20"/>
                <w:highlight w:val="none"/>
              </w:rPr>
              <w:t>5</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06F946B0">
            <w:pPr>
              <w:pStyle w:val="5"/>
              <w:jc w:val="left"/>
              <w:rPr>
                <w:highlight w:val="none"/>
              </w:rPr>
            </w:pPr>
            <w:r>
              <w:rPr>
                <w:rFonts w:ascii="仿宋_GB2312" w:hAnsi="仿宋_GB2312" w:eastAsia="仿宋_GB2312" w:cs="仿宋_GB2312"/>
                <w:sz w:val="20"/>
                <w:highlight w:val="none"/>
              </w:rPr>
              <w:t>清理桥梁及市政构筑物爬山虎；</w:t>
            </w:r>
          </w:p>
        </w:tc>
      </w:tr>
      <w:tr w14:paraId="2CEF07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4F1F0894">
            <w:pPr>
              <w:pStyle w:val="5"/>
              <w:jc w:val="center"/>
              <w:rPr>
                <w:highlight w:val="none"/>
              </w:rPr>
            </w:pPr>
            <w:r>
              <w:rPr>
                <w:rFonts w:ascii="仿宋_GB2312" w:hAnsi="仿宋_GB2312" w:eastAsia="仿宋_GB2312" w:cs="仿宋_GB2312"/>
                <w:sz w:val="20"/>
                <w:highlight w:val="none"/>
              </w:rPr>
              <w:t>6</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62584ABC">
            <w:pPr>
              <w:pStyle w:val="5"/>
              <w:jc w:val="left"/>
              <w:rPr>
                <w:highlight w:val="none"/>
              </w:rPr>
            </w:pPr>
            <w:r>
              <w:rPr>
                <w:rFonts w:ascii="仿宋_GB2312" w:hAnsi="仿宋_GB2312" w:eastAsia="仿宋_GB2312" w:cs="仿宋_GB2312"/>
                <w:sz w:val="20"/>
                <w:highlight w:val="none"/>
              </w:rPr>
              <w:t>绿化内安全隐患整改，人为或自然灾害导致绿化被破坏的恢复</w:t>
            </w:r>
          </w:p>
        </w:tc>
      </w:tr>
      <w:tr w14:paraId="7854C2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60BF0DBE">
            <w:pPr>
              <w:pStyle w:val="5"/>
              <w:jc w:val="center"/>
              <w:rPr>
                <w:highlight w:val="none"/>
              </w:rPr>
            </w:pPr>
            <w:r>
              <w:rPr>
                <w:rFonts w:ascii="仿宋_GB2312" w:hAnsi="仿宋_GB2312" w:eastAsia="仿宋_GB2312" w:cs="仿宋_GB2312"/>
                <w:sz w:val="20"/>
                <w:highlight w:val="none"/>
              </w:rPr>
              <w:t>7</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111B8BCE">
            <w:pPr>
              <w:pStyle w:val="5"/>
              <w:jc w:val="left"/>
              <w:rPr>
                <w:highlight w:val="none"/>
              </w:rPr>
            </w:pPr>
            <w:r>
              <w:rPr>
                <w:rFonts w:ascii="仿宋_GB2312" w:hAnsi="仿宋_GB2312" w:eastAsia="仿宋_GB2312" w:cs="仿宋_GB2312"/>
                <w:sz w:val="20"/>
                <w:highlight w:val="none"/>
              </w:rPr>
              <w:t>各类型（12345，数字城管，信访件等）兜底处置；</w:t>
            </w:r>
          </w:p>
        </w:tc>
      </w:tr>
      <w:tr w14:paraId="04CC46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75498B6F">
            <w:pPr>
              <w:pStyle w:val="5"/>
              <w:jc w:val="center"/>
              <w:rPr>
                <w:highlight w:val="none"/>
              </w:rPr>
            </w:pPr>
            <w:r>
              <w:rPr>
                <w:rFonts w:ascii="仿宋_GB2312" w:hAnsi="仿宋_GB2312" w:eastAsia="仿宋_GB2312" w:cs="仿宋_GB2312"/>
                <w:sz w:val="20"/>
                <w:highlight w:val="none"/>
              </w:rPr>
              <w:t>8</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3F04587A">
            <w:pPr>
              <w:pStyle w:val="5"/>
              <w:jc w:val="left"/>
              <w:rPr>
                <w:highlight w:val="none"/>
              </w:rPr>
            </w:pPr>
            <w:r>
              <w:rPr>
                <w:rFonts w:ascii="仿宋_GB2312" w:hAnsi="仿宋_GB2312" w:eastAsia="仿宋_GB2312" w:cs="仿宋_GB2312"/>
                <w:sz w:val="20"/>
                <w:highlight w:val="none"/>
              </w:rPr>
              <w:t>开展芒果、木棉、盆架木等树木进行落花、落果等养护作业所使用药品；</w:t>
            </w:r>
          </w:p>
        </w:tc>
      </w:tr>
      <w:tr w14:paraId="2859C9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434CA2D6">
            <w:pPr>
              <w:pStyle w:val="5"/>
              <w:jc w:val="center"/>
              <w:rPr>
                <w:highlight w:val="none"/>
              </w:rPr>
            </w:pPr>
            <w:r>
              <w:rPr>
                <w:rFonts w:ascii="仿宋_GB2312" w:hAnsi="仿宋_GB2312" w:eastAsia="仿宋_GB2312" w:cs="仿宋_GB2312"/>
                <w:sz w:val="20"/>
                <w:highlight w:val="none"/>
              </w:rPr>
              <w:t>9</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26F33EFC">
            <w:pPr>
              <w:pStyle w:val="5"/>
              <w:jc w:val="left"/>
              <w:rPr>
                <w:highlight w:val="none"/>
              </w:rPr>
            </w:pPr>
            <w:r>
              <w:rPr>
                <w:rFonts w:ascii="仿宋_GB2312" w:hAnsi="仿宋_GB2312" w:eastAsia="仿宋_GB2312" w:cs="仿宋_GB2312"/>
                <w:sz w:val="20"/>
                <w:highlight w:val="none"/>
              </w:rPr>
              <w:t>经采购人同意的行道树补植或更换，在日常管理中一般安排春、秋两季集中补植；</w:t>
            </w:r>
          </w:p>
        </w:tc>
      </w:tr>
      <w:tr w14:paraId="7CF69D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59FCF65D">
            <w:pPr>
              <w:pStyle w:val="5"/>
              <w:jc w:val="center"/>
              <w:rPr>
                <w:highlight w:val="none"/>
              </w:rPr>
            </w:pPr>
            <w:r>
              <w:rPr>
                <w:rFonts w:ascii="仿宋_GB2312" w:hAnsi="仿宋_GB2312" w:eastAsia="仿宋_GB2312" w:cs="仿宋_GB2312"/>
                <w:sz w:val="20"/>
                <w:highlight w:val="none"/>
              </w:rPr>
              <w:t>10</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2F26CB66">
            <w:pPr>
              <w:pStyle w:val="5"/>
              <w:jc w:val="left"/>
              <w:rPr>
                <w:highlight w:val="none"/>
              </w:rPr>
            </w:pPr>
            <w:r>
              <w:rPr>
                <w:rFonts w:ascii="仿宋_GB2312" w:hAnsi="仿宋_GB2312" w:eastAsia="仿宋_GB2312" w:cs="仿宋_GB2312"/>
                <w:sz w:val="20"/>
                <w:highlight w:val="none"/>
              </w:rPr>
              <w:t>非因养护不到位原因而出现的意外伤害赔偿；</w:t>
            </w:r>
          </w:p>
        </w:tc>
      </w:tr>
      <w:tr w14:paraId="525444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1"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3F0C03F7">
            <w:pPr>
              <w:pStyle w:val="5"/>
              <w:jc w:val="center"/>
              <w:rPr>
                <w:highlight w:val="none"/>
              </w:rPr>
            </w:pPr>
            <w:r>
              <w:rPr>
                <w:rFonts w:ascii="仿宋_GB2312" w:hAnsi="仿宋_GB2312" w:eastAsia="仿宋_GB2312" w:cs="仿宋_GB2312"/>
                <w:sz w:val="20"/>
                <w:highlight w:val="none"/>
              </w:rPr>
              <w:t>11</w:t>
            </w:r>
          </w:p>
        </w:tc>
        <w:tc>
          <w:tcPr>
            <w:tcW w:w="7565" w:type="dxa"/>
            <w:tcBorders>
              <w:top w:val="nil"/>
              <w:left w:val="nil"/>
              <w:bottom w:val="single" w:color="000000" w:sz="4" w:space="0"/>
              <w:right w:val="single" w:color="000000" w:sz="4" w:space="0"/>
            </w:tcBorders>
            <w:tcMar>
              <w:top w:w="15" w:type="dxa"/>
              <w:left w:w="15" w:type="dxa"/>
              <w:bottom w:w="15" w:type="dxa"/>
              <w:right w:w="15" w:type="dxa"/>
            </w:tcMar>
            <w:vAlign w:val="top"/>
          </w:tcPr>
          <w:p w14:paraId="3255232F">
            <w:pPr>
              <w:pStyle w:val="5"/>
              <w:jc w:val="left"/>
              <w:rPr>
                <w:highlight w:val="none"/>
              </w:rPr>
            </w:pPr>
            <w:r>
              <w:rPr>
                <w:rFonts w:ascii="仿宋_GB2312" w:hAnsi="仿宋_GB2312" w:eastAsia="仿宋_GB2312" w:cs="仿宋_GB2312"/>
                <w:sz w:val="20"/>
                <w:highlight w:val="none"/>
              </w:rPr>
              <w:t>由采购人下达的抢险、保障、园路翻新等需要的养护任务。</w:t>
            </w:r>
          </w:p>
        </w:tc>
      </w:tr>
      <w:tr w14:paraId="6A9B8E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2"/>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14:paraId="32EE7B22">
            <w:pPr>
              <w:pStyle w:val="5"/>
              <w:jc w:val="left"/>
              <w:rPr>
                <w:highlight w:val="none"/>
              </w:rPr>
            </w:pPr>
            <w:r>
              <w:rPr>
                <w:rFonts w:ascii="仿宋_GB2312" w:hAnsi="仿宋_GB2312" w:eastAsia="仿宋_GB2312" w:cs="仿宋_GB2312"/>
                <w:b/>
                <w:sz w:val="20"/>
                <w:highlight w:val="none"/>
              </w:rPr>
              <w:t>上述作业事项涉及的结算金额：服务期内不得超过30万元。</w:t>
            </w:r>
          </w:p>
        </w:tc>
      </w:tr>
    </w:tbl>
    <w:p w14:paraId="16B40540">
      <w:pPr>
        <w:pStyle w:val="5"/>
        <w:jc w:val="both"/>
        <w:rPr>
          <w:highlight w:val="none"/>
        </w:rPr>
      </w:pPr>
      <w:r>
        <w:rPr>
          <w:rFonts w:ascii="仿宋_GB2312" w:hAnsi="仿宋_GB2312" w:eastAsia="仿宋_GB2312" w:cs="仿宋_GB2312"/>
          <w:b/>
          <w:sz w:val="20"/>
          <w:highlight w:val="none"/>
        </w:rPr>
        <w:t>★（四）道路绿化临时占用恢复事宜</w:t>
      </w:r>
    </w:p>
    <w:p w14:paraId="2F10EF65">
      <w:pPr>
        <w:pStyle w:val="5"/>
        <w:ind w:firstLine="480"/>
        <w:jc w:val="both"/>
        <w:rPr>
          <w:highlight w:val="none"/>
        </w:rPr>
      </w:pPr>
      <w:r>
        <w:rPr>
          <w:rFonts w:ascii="仿宋_GB2312" w:hAnsi="仿宋_GB2312" w:eastAsia="仿宋_GB2312" w:cs="仿宋_GB2312"/>
          <w:sz w:val="20"/>
          <w:highlight w:val="none"/>
        </w:rPr>
        <w:t>因市政、电力、水务、燃气、交警等其它建设部门抢修或临时占用建设后的绿化项目除规定外的，由养护区域内的中标人负责恢复，工程量由片区养护管理所负责确认，不计养护费。费用经评审后下浮8%从临时占用的绿地恢复费中据实核拨。</w:t>
      </w:r>
    </w:p>
    <w:p w14:paraId="59BC6F1B">
      <w:pPr>
        <w:pStyle w:val="5"/>
        <w:jc w:val="both"/>
        <w:rPr>
          <w:highlight w:val="none"/>
        </w:rPr>
      </w:pPr>
      <w:r>
        <w:rPr>
          <w:rFonts w:ascii="仿宋_GB2312" w:hAnsi="仿宋_GB2312" w:eastAsia="仿宋_GB2312" w:cs="仿宋_GB2312"/>
          <w:b/>
          <w:sz w:val="20"/>
          <w:highlight w:val="none"/>
        </w:rPr>
        <w:t>★（五）道路绿化养护作业中，交通安全方案和布控设计费由中标人承担。</w:t>
      </w:r>
    </w:p>
    <w:p w14:paraId="435530E7">
      <w:pPr>
        <w:pStyle w:val="5"/>
        <w:jc w:val="both"/>
        <w:rPr>
          <w:highlight w:val="none"/>
        </w:rPr>
      </w:pPr>
      <w:r>
        <w:rPr>
          <w:rFonts w:ascii="仿宋_GB2312" w:hAnsi="仿宋_GB2312" w:eastAsia="仿宋_GB2312" w:cs="仿宋_GB2312"/>
          <w:b/>
          <w:sz w:val="20"/>
          <w:highlight w:val="none"/>
        </w:rPr>
        <w:t>★（六）意外伤害赔偿事宜</w:t>
      </w:r>
    </w:p>
    <w:p w14:paraId="4D6EF432">
      <w:pPr>
        <w:pStyle w:val="5"/>
        <w:ind w:firstLine="480"/>
        <w:jc w:val="both"/>
        <w:rPr>
          <w:highlight w:val="none"/>
        </w:rPr>
      </w:pPr>
      <w:r>
        <w:rPr>
          <w:rFonts w:ascii="仿宋_GB2312" w:hAnsi="仿宋_GB2312" w:eastAsia="仿宋_GB2312" w:cs="仿宋_GB2312"/>
          <w:sz w:val="20"/>
          <w:highlight w:val="none"/>
        </w:rPr>
        <w:t>6.1项目合同期内发生意外伤害的，中标人在意外发生的第一时间通知法律顾问现场处置并上报采购人及相关主管部门，须在中标人法律顾问的指导下开展意外伤害现场处置和后续处理工作，中标人应采取相应措施防止损失扩大。</w:t>
      </w:r>
    </w:p>
    <w:p w14:paraId="25BF145B">
      <w:pPr>
        <w:pStyle w:val="5"/>
        <w:ind w:firstLine="480"/>
        <w:jc w:val="both"/>
        <w:rPr>
          <w:highlight w:val="none"/>
        </w:rPr>
      </w:pPr>
      <w:r>
        <w:rPr>
          <w:rFonts w:ascii="仿宋_GB2312" w:hAnsi="仿宋_GB2312" w:eastAsia="仿宋_GB2312" w:cs="仿宋_GB2312"/>
          <w:sz w:val="20"/>
          <w:highlight w:val="none"/>
        </w:rPr>
        <w:t>6.2因自然原因（如树木倒伏断枝等，不含作业修剪）造成的伤害赔偿有关事宜发生争议的，经法院调解或裁决认定为意外伤害事件的，相关费用报主管单位转市财政据实核拨。</w:t>
      </w:r>
    </w:p>
    <w:p w14:paraId="649265DA">
      <w:pPr>
        <w:pStyle w:val="5"/>
        <w:jc w:val="both"/>
        <w:rPr>
          <w:highlight w:val="none"/>
        </w:rPr>
      </w:pPr>
      <w:r>
        <w:rPr>
          <w:rFonts w:ascii="仿宋_GB2312" w:hAnsi="仿宋_GB2312" w:eastAsia="仿宋_GB2312" w:cs="仿宋_GB2312"/>
          <w:b/>
          <w:sz w:val="20"/>
          <w:highlight w:val="none"/>
        </w:rPr>
        <w:t>★（七）服务要求</w:t>
      </w:r>
    </w:p>
    <w:p w14:paraId="40706FDA">
      <w:pPr>
        <w:pStyle w:val="5"/>
        <w:ind w:firstLine="480"/>
        <w:jc w:val="both"/>
        <w:rPr>
          <w:highlight w:val="none"/>
        </w:rPr>
      </w:pPr>
      <w:r>
        <w:rPr>
          <w:rFonts w:ascii="仿宋_GB2312" w:hAnsi="仿宋_GB2312" w:eastAsia="仿宋_GB2312" w:cs="仿宋_GB2312"/>
          <w:sz w:val="20"/>
          <w:highlight w:val="none"/>
        </w:rPr>
        <w:t>7.1中标人需安排专人负责办理本项目的数字城管案件和12345诉求件。</w:t>
      </w:r>
    </w:p>
    <w:p w14:paraId="53652D6F">
      <w:pPr>
        <w:pStyle w:val="5"/>
        <w:ind w:firstLine="480"/>
        <w:jc w:val="both"/>
        <w:rPr>
          <w:highlight w:val="none"/>
        </w:rPr>
      </w:pPr>
      <w:r>
        <w:rPr>
          <w:rFonts w:ascii="仿宋_GB2312" w:hAnsi="仿宋_GB2312" w:eastAsia="仿宋_GB2312" w:cs="仿宋_GB2312"/>
          <w:sz w:val="20"/>
          <w:highlight w:val="none"/>
        </w:rPr>
        <w:t>7.2中标人需按采购人要求，将本项目巡查整改的养护作业内容、抢险等各项内容按规范上传信息化管理系统。</w:t>
      </w:r>
    </w:p>
    <w:p w14:paraId="5FAAAAFC">
      <w:pPr>
        <w:pStyle w:val="5"/>
        <w:ind w:firstLine="480"/>
        <w:jc w:val="both"/>
        <w:rPr>
          <w:highlight w:val="none"/>
        </w:rPr>
      </w:pPr>
      <w:r>
        <w:rPr>
          <w:rFonts w:ascii="仿宋_GB2312" w:hAnsi="仿宋_GB2312" w:eastAsia="仿宋_GB2312" w:cs="仿宋_GB2312"/>
          <w:sz w:val="20"/>
          <w:highlight w:val="none"/>
        </w:rPr>
        <w:t>7.3废弃物管理，在养护作业过程中产生的园林废弃物，须按相关法规和规定进行处置。</w:t>
      </w:r>
    </w:p>
    <w:p w14:paraId="51231CF7">
      <w:pPr>
        <w:pStyle w:val="5"/>
        <w:ind w:firstLine="480"/>
        <w:jc w:val="both"/>
        <w:rPr>
          <w:highlight w:val="none"/>
        </w:rPr>
      </w:pPr>
      <w:r>
        <w:rPr>
          <w:rFonts w:ascii="仿宋_GB2312" w:hAnsi="仿宋_GB2312" w:eastAsia="仿宋_GB2312" w:cs="仿宋_GB2312"/>
          <w:sz w:val="20"/>
          <w:highlight w:val="none"/>
        </w:rPr>
        <w:t>7.4中标人配备的车辆须定点停放，须服从采购人的管理规定，所产生的费用由中标人承担。</w:t>
      </w:r>
    </w:p>
    <w:p w14:paraId="36C3CD20">
      <w:pPr>
        <w:pStyle w:val="5"/>
        <w:ind w:firstLine="480"/>
        <w:jc w:val="both"/>
        <w:rPr>
          <w:highlight w:val="none"/>
        </w:rPr>
      </w:pPr>
      <w:r>
        <w:rPr>
          <w:rFonts w:ascii="仿宋_GB2312" w:hAnsi="仿宋_GB2312" w:eastAsia="仿宋_GB2312" w:cs="仿宋_GB2312"/>
          <w:sz w:val="20"/>
          <w:highlight w:val="none"/>
        </w:rPr>
        <w:t>7.5中标人必需遵守国家相关法规，接受采购人作业质量检查和处罚标准。</w:t>
      </w:r>
    </w:p>
    <w:p w14:paraId="7B29E875">
      <w:pPr>
        <w:pStyle w:val="5"/>
        <w:ind w:firstLine="480"/>
        <w:jc w:val="both"/>
        <w:rPr>
          <w:rFonts w:ascii="仿宋_GB2312" w:hAnsi="仿宋_GB2312" w:eastAsia="仿宋_GB2312" w:cs="仿宋_GB2312"/>
          <w:sz w:val="20"/>
          <w:highlight w:val="none"/>
        </w:rPr>
      </w:pPr>
      <w:r>
        <w:rPr>
          <w:rFonts w:ascii="仿宋_GB2312" w:hAnsi="仿宋_GB2312" w:eastAsia="仿宋_GB2312" w:cs="仿宋_GB2312"/>
          <w:sz w:val="20"/>
          <w:highlight w:val="none"/>
        </w:rPr>
        <w:t>7.6中标人投入的人员、车辆未按上述要求配齐到位，采购人有权向中标人下发书面整改通知，明确整改完成时限。中标人须在书面通知限定时间内完成全部人员、车辆配置；逾期未完成的，每延期一天，对未到位的车辆每辆扣除养护作业经费2000元，对未到位的人员每人扣除</w:t>
      </w:r>
      <w:bookmarkStart w:id="0" w:name="_GoBack"/>
      <w:bookmarkEnd w:id="0"/>
      <w:r>
        <w:rPr>
          <w:rFonts w:ascii="仿宋_GB2312" w:hAnsi="仿宋_GB2312" w:eastAsia="仿宋_GB2312" w:cs="仿宋_GB2312"/>
          <w:sz w:val="20"/>
          <w:highlight w:val="none"/>
        </w:rPr>
        <w:t>养护作业经费300元，若因此给采购人造成损失的，应赔偿采购人所受的损失。</w:t>
      </w:r>
    </w:p>
    <w:p w14:paraId="6AA7031A">
      <w:pPr>
        <w:pStyle w:val="5"/>
        <w:ind w:firstLine="480"/>
        <w:jc w:val="both"/>
        <w:rPr>
          <w:rFonts w:ascii="仿宋_GB2312" w:hAnsi="仿宋_GB2312" w:eastAsia="仿宋_GB2312" w:cs="仿宋_GB2312"/>
          <w:sz w:val="20"/>
          <w:highlight w:val="none"/>
        </w:rPr>
      </w:pPr>
      <w:r>
        <w:rPr>
          <w:rFonts w:hint="eastAsia" w:ascii="仿宋_GB2312" w:hAnsi="仿宋_GB2312" w:eastAsia="仿宋_GB2312" w:cs="仿宋_GB2312"/>
          <w:sz w:val="20"/>
          <w:highlight w:val="none"/>
          <w:lang w:val="en-US" w:eastAsia="zh-CN"/>
        </w:rPr>
        <w:t>7.7</w:t>
      </w:r>
      <w:r>
        <w:rPr>
          <w:rFonts w:ascii="仿宋_GB2312" w:hAnsi="仿宋_GB2312" w:eastAsia="仿宋_GB2312" w:cs="仿宋_GB2312"/>
          <w:sz w:val="20"/>
          <w:highlight w:val="none"/>
        </w:rPr>
        <w:t>项目负责人、项目技术负责人不得与采购单位作为业主的其他项目重叠。</w:t>
      </w:r>
    </w:p>
    <w:p w14:paraId="3C0C4F4C">
      <w:pPr>
        <w:pStyle w:val="5"/>
        <w:ind w:firstLine="48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7.8</w:t>
      </w:r>
      <w:r>
        <w:rPr>
          <w:rFonts w:ascii="仿宋_GB2312" w:hAnsi="仿宋_GB2312" w:eastAsia="仿宋_GB2312" w:cs="仿宋_GB2312"/>
          <w:sz w:val="20"/>
          <w:highlight w:val="none"/>
        </w:rPr>
        <w:t>项目负责人、项目技术负责人</w:t>
      </w:r>
      <w:r>
        <w:rPr>
          <w:rFonts w:hint="eastAsia" w:ascii="仿宋_GB2312" w:hAnsi="仿宋_GB2312" w:eastAsia="仿宋_GB2312" w:cs="仿宋_GB2312"/>
          <w:sz w:val="20"/>
          <w:highlight w:val="none"/>
          <w:lang w:eastAsia="zh-CN"/>
        </w:rPr>
        <w:t>如若请假，请假期间须有同等专业技术资格的人员顶替。</w:t>
      </w:r>
    </w:p>
    <w:p w14:paraId="659E049D">
      <w:pPr>
        <w:pStyle w:val="5"/>
        <w:ind w:firstLine="480"/>
        <w:jc w:val="both"/>
        <w:rPr>
          <w:rFonts w:ascii="仿宋_GB2312" w:hAnsi="仿宋_GB2312" w:eastAsia="仿宋_GB2312" w:cs="仿宋_GB2312"/>
          <w:sz w:val="20"/>
          <w:highlight w:val="none"/>
        </w:rPr>
      </w:pPr>
      <w:r>
        <w:rPr>
          <w:rFonts w:ascii="仿宋_GB2312" w:hAnsi="仿宋_GB2312" w:eastAsia="仿宋_GB2312" w:cs="仿宋_GB2312"/>
          <w:sz w:val="20"/>
          <w:highlight w:val="none"/>
        </w:rPr>
        <w:t>7.</w:t>
      </w:r>
      <w:r>
        <w:rPr>
          <w:rFonts w:hint="eastAsia" w:ascii="仿宋_GB2312" w:hAnsi="仿宋_GB2312" w:eastAsia="仿宋_GB2312" w:cs="仿宋_GB2312"/>
          <w:sz w:val="20"/>
          <w:highlight w:val="none"/>
          <w:lang w:val="en-US" w:eastAsia="zh-CN"/>
        </w:rPr>
        <w:t>9</w:t>
      </w:r>
      <w:r>
        <w:rPr>
          <w:rFonts w:ascii="仿宋_GB2312" w:hAnsi="仿宋_GB2312" w:eastAsia="仿宋_GB2312" w:cs="仿宋_GB2312"/>
          <w:sz w:val="20"/>
          <w:highlight w:val="none"/>
        </w:rPr>
        <w:t>中标人在投标文件中承诺的主要管理人员在合同期内发生更换的，接替的人员必须具备同等的专业技术资格；项目负责人或项目技术负责人更换的每人次扣除养护作业经费1万元。</w:t>
      </w:r>
    </w:p>
    <w:p w14:paraId="362EE528">
      <w:pPr>
        <w:pStyle w:val="5"/>
        <w:ind w:firstLine="480"/>
        <w:jc w:val="both"/>
        <w:rPr>
          <w:highlight w:val="none"/>
        </w:rPr>
      </w:pPr>
      <w:r>
        <w:rPr>
          <w:rFonts w:ascii="仿宋_GB2312" w:hAnsi="仿宋_GB2312" w:eastAsia="仿宋_GB2312" w:cs="仿宋_GB2312"/>
          <w:sz w:val="20"/>
          <w:highlight w:val="none"/>
        </w:rPr>
        <w:t>7.</w:t>
      </w:r>
      <w:r>
        <w:rPr>
          <w:rFonts w:hint="eastAsia" w:ascii="仿宋_GB2312" w:hAnsi="仿宋_GB2312" w:eastAsia="仿宋_GB2312" w:cs="仿宋_GB2312"/>
          <w:sz w:val="20"/>
          <w:highlight w:val="none"/>
          <w:lang w:val="en-US" w:eastAsia="zh-CN"/>
        </w:rPr>
        <w:t>10</w:t>
      </w:r>
      <w:r>
        <w:rPr>
          <w:rFonts w:ascii="仿宋_GB2312" w:hAnsi="仿宋_GB2312" w:eastAsia="仿宋_GB2312" w:cs="仿宋_GB2312"/>
          <w:sz w:val="20"/>
          <w:highlight w:val="none"/>
        </w:rPr>
        <w:t>中标人需负责承包范围内的安全作业管理，严格按有关部门的要求，制定有关规章制度。项目安全生产及相应事项的约定。</w:t>
      </w:r>
    </w:p>
    <w:p w14:paraId="4343E612">
      <w:pPr>
        <w:pStyle w:val="5"/>
        <w:ind w:firstLine="480"/>
        <w:jc w:val="both"/>
        <w:rPr>
          <w:highlight w:val="none"/>
        </w:rPr>
      </w:pPr>
      <w:r>
        <w:rPr>
          <w:rFonts w:ascii="仿宋_GB2312" w:hAnsi="仿宋_GB2312" w:eastAsia="仿宋_GB2312" w:cs="仿宋_GB2312"/>
          <w:sz w:val="20"/>
          <w:highlight w:val="none"/>
        </w:rPr>
        <w:t>（1）中标人应按合同约定履行安全职责，严格执行国家、福建省、福州市有关安全管理方面的法律、法规及规章制度，同时严格执行采购人制订的本项目安全生产管理方面的规章制度、安全检查程序及安全管理要求。</w:t>
      </w:r>
    </w:p>
    <w:p w14:paraId="33989DC0">
      <w:pPr>
        <w:pStyle w:val="5"/>
        <w:ind w:firstLine="480"/>
        <w:jc w:val="both"/>
        <w:rPr>
          <w:highlight w:val="none"/>
        </w:rPr>
      </w:pPr>
      <w:r>
        <w:rPr>
          <w:rFonts w:ascii="仿宋_GB2312" w:hAnsi="仿宋_GB2312" w:eastAsia="仿宋_GB2312" w:cs="仿宋_GB2312"/>
          <w:sz w:val="20"/>
          <w:highlight w:val="none"/>
        </w:rPr>
        <w:t>（2）中标人应根据《</w:t>
      </w:r>
      <w:r>
        <w:rPr>
          <w:rFonts w:hint="eastAsia" w:ascii="仿宋_GB2312" w:hAnsi="仿宋_GB2312" w:eastAsia="仿宋_GB2312" w:cs="仿宋_GB2312"/>
          <w:sz w:val="20"/>
          <w:highlight w:val="none"/>
          <w:lang w:val="en-US" w:eastAsia="zh-CN"/>
        </w:rPr>
        <w:t>中华人民共和国</w:t>
      </w:r>
      <w:r>
        <w:rPr>
          <w:rFonts w:ascii="仿宋_GB2312" w:hAnsi="仿宋_GB2312" w:eastAsia="仿宋_GB2312" w:cs="仿宋_GB2312"/>
          <w:sz w:val="20"/>
          <w:highlight w:val="none"/>
        </w:rPr>
        <w:t>安全生产法》，结合</w:t>
      </w:r>
      <w:r>
        <w:rPr>
          <w:rFonts w:ascii="仿宋_GB2312" w:hAnsi="仿宋_GB2312" w:eastAsia="仿宋_GB2312" w:cs="仿宋_GB2312"/>
          <w:b/>
          <w:sz w:val="20"/>
          <w:highlight w:val="none"/>
        </w:rPr>
        <w:t>《福州市绿化管理处城市园林绿化养护安全生产规范》</w:t>
      </w:r>
      <w:r>
        <w:rPr>
          <w:rFonts w:ascii="仿宋_GB2312" w:hAnsi="仿宋_GB2312" w:eastAsia="仿宋_GB2312" w:cs="仿宋_GB2312"/>
          <w:sz w:val="20"/>
          <w:highlight w:val="none"/>
        </w:rPr>
        <w:t>的实际安全养护要求，编制养护安全技术措施，</w:t>
      </w:r>
      <w:r>
        <w:rPr>
          <w:rFonts w:ascii="仿宋_GB2312" w:hAnsi="仿宋_GB2312" w:eastAsia="仿宋_GB2312" w:cs="仿宋_GB2312"/>
          <w:b/>
          <w:sz w:val="20"/>
          <w:highlight w:val="none"/>
        </w:rPr>
        <w:t>并在签订合同协议书后60天内，报采购人批准。</w:t>
      </w:r>
      <w:r>
        <w:rPr>
          <w:rFonts w:ascii="仿宋_GB2312" w:hAnsi="仿宋_GB2312" w:eastAsia="仿宋_GB2312" w:cs="仿宋_GB2312"/>
          <w:sz w:val="20"/>
          <w:highlight w:val="none"/>
        </w:rPr>
        <w:t>该养护安全技术措施包括（但不限于）养护安全保障体系，安全生产责任制，安全生产管理规章制度，安全防护施工方案等安全预控及保证措施方案，紧急应变措施，安全标识、警示和围护方案等。</w:t>
      </w:r>
    </w:p>
    <w:p w14:paraId="7446C9AB">
      <w:pPr>
        <w:pStyle w:val="5"/>
        <w:ind w:firstLine="480"/>
        <w:jc w:val="both"/>
        <w:rPr>
          <w:highlight w:val="none"/>
        </w:rPr>
      </w:pPr>
      <w:r>
        <w:rPr>
          <w:rFonts w:ascii="仿宋_GB2312" w:hAnsi="仿宋_GB2312" w:eastAsia="仿宋_GB2312" w:cs="仿宋_GB2312"/>
          <w:sz w:val="20"/>
          <w:highlight w:val="none"/>
        </w:rPr>
        <w:t>（3）在项目合同期内发生的一切责任事故，包括但不限于治安案件、交通事故、侵权纠纷、意外伤害赔偿（除二、技术和服务要求（六）6.2约定的以外）和劳资纠纷等，均由中标人承担责任（涉及第三方责任的，中标人在承担责任后自行向该第三方追偿）；中标人在签订合同后15日内需聘请法律顾问，同时将聘请法律顾问合同向采购人备案，作为中标人在履行本合同过程中涉及责任事故处理的法律顾问，涉及侵权纠纷、意外伤害等责任事故，需立即通知法律顾问指导处理。</w:t>
      </w:r>
    </w:p>
    <w:p w14:paraId="7A361EC8">
      <w:pPr>
        <w:pStyle w:val="5"/>
        <w:ind w:firstLine="480"/>
        <w:jc w:val="both"/>
        <w:rPr>
          <w:highlight w:val="none"/>
        </w:rPr>
      </w:pPr>
      <w:r>
        <w:rPr>
          <w:rFonts w:ascii="仿宋_GB2312" w:hAnsi="仿宋_GB2312" w:eastAsia="仿宋_GB2312" w:cs="仿宋_GB2312"/>
          <w:sz w:val="20"/>
          <w:highlight w:val="none"/>
        </w:rPr>
        <w:t>7.</w:t>
      </w:r>
      <w:r>
        <w:rPr>
          <w:rFonts w:hint="eastAsia" w:ascii="仿宋_GB2312" w:hAnsi="仿宋_GB2312" w:eastAsia="仿宋_GB2312" w:cs="仿宋_GB2312"/>
          <w:sz w:val="20"/>
          <w:highlight w:val="none"/>
          <w:lang w:val="en-US" w:eastAsia="zh-CN"/>
        </w:rPr>
        <w:t>11</w:t>
      </w:r>
      <w:r>
        <w:rPr>
          <w:rFonts w:ascii="仿宋_GB2312" w:hAnsi="仿宋_GB2312" w:eastAsia="仿宋_GB2312" w:cs="仿宋_GB2312"/>
          <w:sz w:val="20"/>
          <w:highlight w:val="none"/>
        </w:rPr>
        <w:t>中标人须根据采购人的要求按现状交接，服从采购人工作安排。</w:t>
      </w:r>
    </w:p>
    <w:p w14:paraId="5B1F5EC3">
      <w:pPr>
        <w:pStyle w:val="5"/>
        <w:ind w:firstLine="480"/>
        <w:jc w:val="both"/>
        <w:rPr>
          <w:highlight w:val="none"/>
        </w:rPr>
      </w:pPr>
      <w:r>
        <w:rPr>
          <w:rFonts w:ascii="仿宋_GB2312" w:hAnsi="仿宋_GB2312" w:eastAsia="仿宋_GB2312" w:cs="仿宋_GB2312"/>
          <w:sz w:val="20"/>
          <w:highlight w:val="none"/>
        </w:rPr>
        <w:t>7.1</w:t>
      </w:r>
      <w:r>
        <w:rPr>
          <w:rFonts w:hint="eastAsia" w:ascii="仿宋_GB2312" w:hAnsi="仿宋_GB2312" w:eastAsia="仿宋_GB2312" w:cs="仿宋_GB2312"/>
          <w:sz w:val="20"/>
          <w:highlight w:val="none"/>
          <w:lang w:val="en-US" w:eastAsia="zh-CN"/>
        </w:rPr>
        <w:t>2</w:t>
      </w:r>
      <w:r>
        <w:rPr>
          <w:rFonts w:ascii="仿宋_GB2312" w:hAnsi="仿宋_GB2312" w:eastAsia="仿宋_GB2312" w:cs="仿宋_GB2312"/>
          <w:sz w:val="20"/>
          <w:highlight w:val="none"/>
        </w:rPr>
        <w:t>中标人须无偿提供具有与养护设备、养护技能相适应的志愿者服务，包括但不限于清理枯枝、树木修剪、打草、喷药、技术指导、抢险救灾等工作。</w:t>
      </w:r>
    </w:p>
    <w:p w14:paraId="51B27236">
      <w:pPr>
        <w:pStyle w:val="5"/>
        <w:ind w:firstLine="480"/>
        <w:jc w:val="both"/>
        <w:rPr>
          <w:highlight w:val="none"/>
        </w:rPr>
      </w:pPr>
      <w:r>
        <w:rPr>
          <w:rFonts w:ascii="仿宋_GB2312" w:hAnsi="仿宋_GB2312" w:eastAsia="仿宋_GB2312" w:cs="仿宋_GB2312"/>
          <w:sz w:val="20"/>
          <w:highlight w:val="none"/>
        </w:rPr>
        <w:t>7.1</w:t>
      </w:r>
      <w:r>
        <w:rPr>
          <w:rFonts w:hint="eastAsia" w:ascii="仿宋_GB2312" w:hAnsi="仿宋_GB2312" w:eastAsia="仿宋_GB2312" w:cs="仿宋_GB2312"/>
          <w:sz w:val="20"/>
          <w:highlight w:val="none"/>
          <w:lang w:val="en-US" w:eastAsia="zh-CN"/>
        </w:rPr>
        <w:t>3</w:t>
      </w:r>
      <w:r>
        <w:rPr>
          <w:rFonts w:ascii="仿宋_GB2312" w:hAnsi="仿宋_GB2312" w:eastAsia="仿宋_GB2312" w:cs="仿宋_GB2312"/>
          <w:sz w:val="20"/>
          <w:highlight w:val="none"/>
        </w:rPr>
        <w:t>中标人须满足采购人作业安排，在台风、强对流等极端天气下须配足车辆人员，落实跨区域协防工作。</w:t>
      </w:r>
    </w:p>
    <w:p w14:paraId="1B8DF359">
      <w:pPr>
        <w:pStyle w:val="5"/>
        <w:jc w:val="left"/>
        <w:rPr>
          <w:highlight w:val="none"/>
        </w:rPr>
      </w:pPr>
      <w:r>
        <w:rPr>
          <w:rFonts w:ascii="仿宋_GB2312" w:hAnsi="仿宋_GB2312" w:eastAsia="仿宋_GB2312" w:cs="仿宋_GB2312"/>
          <w:b/>
          <w:sz w:val="20"/>
          <w:highlight w:val="none"/>
        </w:rPr>
        <w:t>（八）养护作业要求</w:t>
      </w:r>
    </w:p>
    <w:p w14:paraId="44C33F3B">
      <w:pPr>
        <w:pStyle w:val="5"/>
        <w:jc w:val="both"/>
        <w:rPr>
          <w:highlight w:val="none"/>
        </w:rPr>
      </w:pPr>
      <w:r>
        <w:rPr>
          <w:rFonts w:ascii="仿宋_GB2312" w:hAnsi="仿宋_GB2312" w:eastAsia="仿宋_GB2312" w:cs="仿宋_GB2312"/>
          <w:b/>
          <w:sz w:val="20"/>
          <w:highlight w:val="none"/>
        </w:rPr>
        <w:t>1.行道树养护质量要求：</w:t>
      </w:r>
    </w:p>
    <w:p w14:paraId="6719C1A6">
      <w:pPr>
        <w:pStyle w:val="5"/>
        <w:ind w:firstLine="480"/>
        <w:jc w:val="both"/>
        <w:rPr>
          <w:highlight w:val="none"/>
        </w:rPr>
      </w:pPr>
      <w:r>
        <w:rPr>
          <w:rFonts w:ascii="仿宋_GB2312" w:hAnsi="仿宋_GB2312" w:eastAsia="仿宋_GB2312" w:cs="仿宋_GB2312"/>
          <w:sz w:val="20"/>
          <w:highlight w:val="none"/>
        </w:rPr>
        <w:t>1.1道路整体景观效果良好，无缺株断档。同一路段树形和枝下高基本一致，下缘线整齐，枝下高2.8-4.5米。</w:t>
      </w:r>
    </w:p>
    <w:p w14:paraId="0FCCEF8B">
      <w:pPr>
        <w:pStyle w:val="5"/>
        <w:ind w:firstLine="480"/>
        <w:jc w:val="both"/>
        <w:rPr>
          <w:highlight w:val="none"/>
        </w:rPr>
      </w:pPr>
      <w:r>
        <w:rPr>
          <w:rFonts w:ascii="仿宋_GB2312" w:hAnsi="仿宋_GB2312" w:eastAsia="仿宋_GB2312" w:cs="仿宋_GB2312"/>
          <w:sz w:val="20"/>
          <w:highlight w:val="none"/>
        </w:rPr>
        <w:t>1.2适树修剪，造型美观，枝条分布匀称，内膛无乱枝，通风透光良好。切口靠近节，根部无侧芽萌蘖，树干上的不定芽应及时抹除；无徒长枝、病虫枝、交叉枝、重叠枝、并生枝、下垂枝以及枯枝和烂头；死树做到及时挖除补植。遇架空线应按杯状修剪，使树枝与架空线保持安全距离，树枝应与路灯、电力设施、路网标识牌保持足够的安全距离。</w:t>
      </w:r>
    </w:p>
    <w:p w14:paraId="2E13D446">
      <w:pPr>
        <w:pStyle w:val="5"/>
        <w:ind w:firstLine="480"/>
        <w:jc w:val="both"/>
        <w:rPr>
          <w:highlight w:val="none"/>
        </w:rPr>
      </w:pPr>
      <w:r>
        <w:rPr>
          <w:rFonts w:ascii="仿宋_GB2312" w:hAnsi="仿宋_GB2312" w:eastAsia="仿宋_GB2312" w:cs="仿宋_GB2312"/>
          <w:sz w:val="20"/>
          <w:highlight w:val="none"/>
        </w:rPr>
        <w:t>1.3行道树保存率100%，无死株、无缺株。若有死株要及时清理，并按招标人的要求执行。</w:t>
      </w:r>
    </w:p>
    <w:p w14:paraId="1F9E96C2">
      <w:pPr>
        <w:pStyle w:val="5"/>
        <w:ind w:firstLine="480"/>
        <w:jc w:val="both"/>
        <w:rPr>
          <w:highlight w:val="none"/>
        </w:rPr>
      </w:pPr>
      <w:r>
        <w:rPr>
          <w:rFonts w:ascii="仿宋_GB2312" w:hAnsi="仿宋_GB2312" w:eastAsia="仿宋_GB2312" w:cs="仿宋_GB2312"/>
          <w:sz w:val="20"/>
          <w:highlight w:val="none"/>
        </w:rPr>
        <w:t>1.4提倡以防为主，综合防治，病虫害控制在不影响观赏效果的危害程度之内，无明显危害迹象。</w:t>
      </w:r>
    </w:p>
    <w:p w14:paraId="08B0004D">
      <w:pPr>
        <w:pStyle w:val="5"/>
        <w:jc w:val="both"/>
        <w:rPr>
          <w:highlight w:val="none"/>
        </w:rPr>
      </w:pPr>
      <w:r>
        <w:rPr>
          <w:rFonts w:ascii="仿宋_GB2312" w:hAnsi="仿宋_GB2312" w:eastAsia="仿宋_GB2312" w:cs="仿宋_GB2312"/>
          <w:b/>
          <w:sz w:val="20"/>
          <w:highlight w:val="none"/>
        </w:rPr>
        <w:t>2.植物养护要求1</w:t>
      </w:r>
    </w:p>
    <w:p w14:paraId="136C5B0B">
      <w:pPr>
        <w:pStyle w:val="5"/>
        <w:ind w:firstLine="480"/>
        <w:jc w:val="both"/>
        <w:rPr>
          <w:highlight w:val="none"/>
        </w:rPr>
      </w:pPr>
      <w:r>
        <w:rPr>
          <w:rFonts w:ascii="仿宋_GB2312" w:hAnsi="仿宋_GB2312" w:eastAsia="仿宋_GB2312" w:cs="仿宋_GB2312"/>
          <w:sz w:val="20"/>
          <w:highlight w:val="none"/>
        </w:rPr>
        <w:t>2.1乔木类：生长健壮，树冠完整美观，主、侧枝分布匀称，疏密得当。</w:t>
      </w:r>
    </w:p>
    <w:p w14:paraId="0BE830DA">
      <w:pPr>
        <w:pStyle w:val="5"/>
        <w:ind w:firstLine="480"/>
        <w:jc w:val="both"/>
        <w:rPr>
          <w:highlight w:val="none"/>
        </w:rPr>
      </w:pPr>
      <w:r>
        <w:rPr>
          <w:rFonts w:ascii="仿宋_GB2312" w:hAnsi="仿宋_GB2312" w:eastAsia="仿宋_GB2312" w:cs="仿宋_GB2312"/>
          <w:sz w:val="20"/>
          <w:highlight w:val="none"/>
        </w:rPr>
        <w:t>2.2灌木类：生长势好，株形丰满，枝条疏离得当，保持良好的观赏效果。花灌木适时开花，在花芽分化前进行修剪，避免把花芽剪掉，花谢后及时修剪残花残枝。造型植物的形状轮廓清晰，枝叶疏密得当，透光，枝叶覆盖均匀，不露枝杆。</w:t>
      </w:r>
    </w:p>
    <w:p w14:paraId="258BB7CA">
      <w:pPr>
        <w:pStyle w:val="5"/>
        <w:ind w:firstLine="480"/>
        <w:jc w:val="left"/>
        <w:rPr>
          <w:highlight w:val="none"/>
        </w:rPr>
      </w:pPr>
      <w:r>
        <w:rPr>
          <w:rFonts w:ascii="仿宋_GB2312" w:hAnsi="仿宋_GB2312" w:eastAsia="仿宋_GB2312" w:cs="仿宋_GB2312"/>
          <w:sz w:val="20"/>
          <w:highlight w:val="none"/>
        </w:rPr>
        <w:t>2.3 竹类：及时疏伐和清除老竹头。</w:t>
      </w:r>
    </w:p>
    <w:p w14:paraId="26F940A9">
      <w:pPr>
        <w:pStyle w:val="5"/>
        <w:ind w:firstLine="480"/>
        <w:jc w:val="left"/>
        <w:rPr>
          <w:highlight w:val="none"/>
        </w:rPr>
      </w:pPr>
      <w:r>
        <w:rPr>
          <w:rFonts w:ascii="仿宋_GB2312" w:hAnsi="仿宋_GB2312" w:eastAsia="仿宋_GB2312" w:cs="仿宋_GB2312"/>
          <w:sz w:val="20"/>
          <w:highlight w:val="none"/>
        </w:rPr>
        <w:t>2.4藤本植物：根据不同植物的攀援特点，及时采取相应的牵引、设置网架等技术措施，修剪得当，能在正常的季节开花，枝条上无积叶。</w:t>
      </w:r>
    </w:p>
    <w:p w14:paraId="3ACA43FD">
      <w:pPr>
        <w:pStyle w:val="5"/>
        <w:jc w:val="both"/>
        <w:rPr>
          <w:highlight w:val="none"/>
        </w:rPr>
      </w:pPr>
      <w:r>
        <w:rPr>
          <w:rFonts w:ascii="仿宋_GB2312" w:hAnsi="仿宋_GB2312" w:eastAsia="仿宋_GB2312" w:cs="仿宋_GB2312"/>
          <w:b/>
          <w:sz w:val="20"/>
          <w:highlight w:val="none"/>
        </w:rPr>
        <w:t>3.植物养护要求2</w:t>
      </w:r>
    </w:p>
    <w:p w14:paraId="0FEDDAEB">
      <w:pPr>
        <w:pStyle w:val="5"/>
        <w:ind w:firstLine="480"/>
        <w:jc w:val="both"/>
        <w:rPr>
          <w:highlight w:val="none"/>
        </w:rPr>
      </w:pPr>
      <w:r>
        <w:rPr>
          <w:rFonts w:ascii="仿宋_GB2312" w:hAnsi="仿宋_GB2312" w:eastAsia="仿宋_GB2312" w:cs="仿宋_GB2312"/>
          <w:sz w:val="20"/>
          <w:highlight w:val="none"/>
        </w:rPr>
        <w:t>3.1绿篱类：轮廓清晰，边缘整齐自然，线条清晰流畅，平整、无空缺、无断层、下部不光秃，不露枝杆；叶片、枝条大小分布均匀。</w:t>
      </w:r>
    </w:p>
    <w:p w14:paraId="2953018A">
      <w:pPr>
        <w:pStyle w:val="5"/>
        <w:ind w:firstLine="480"/>
        <w:jc w:val="both"/>
        <w:rPr>
          <w:highlight w:val="none"/>
        </w:rPr>
      </w:pPr>
      <w:r>
        <w:rPr>
          <w:rFonts w:ascii="仿宋_GB2312" w:hAnsi="仿宋_GB2312" w:eastAsia="仿宋_GB2312" w:cs="仿宋_GB2312"/>
          <w:sz w:val="20"/>
          <w:highlight w:val="none"/>
        </w:rPr>
        <w:t>3.2地被植物（除林下空间外）：植物生长良好，无老化现象，无枯枝残花残叶，无缺株断行，覆盖率达100%，色块分明，线条清晰流畅；及时修剪，高度一致，无凹凸感。</w:t>
      </w:r>
    </w:p>
    <w:p w14:paraId="5F9EFA8E">
      <w:pPr>
        <w:pStyle w:val="5"/>
        <w:ind w:firstLine="480"/>
        <w:jc w:val="left"/>
        <w:rPr>
          <w:highlight w:val="none"/>
        </w:rPr>
      </w:pPr>
      <w:r>
        <w:rPr>
          <w:rFonts w:ascii="仿宋_GB2312" w:hAnsi="仿宋_GB2312" w:eastAsia="仿宋_GB2312" w:cs="仿宋_GB2312"/>
          <w:sz w:val="20"/>
          <w:highlight w:val="none"/>
        </w:rPr>
        <w:t>3.3 宿根花卉：宿根花卉萌芽前应剪除上年残留枯枝、枯叶，花谢后应及时去除残花、残枝和枯叶，并加强肥水管理。</w:t>
      </w:r>
    </w:p>
    <w:p w14:paraId="32EB8D6D">
      <w:pPr>
        <w:pStyle w:val="5"/>
        <w:ind w:firstLine="480"/>
        <w:jc w:val="left"/>
        <w:rPr>
          <w:highlight w:val="none"/>
        </w:rPr>
      </w:pPr>
      <w:r>
        <w:rPr>
          <w:rFonts w:ascii="仿宋_GB2312" w:hAnsi="仿宋_GB2312" w:eastAsia="仿宋_GB2312" w:cs="仿宋_GB2312"/>
          <w:sz w:val="20"/>
          <w:highlight w:val="none"/>
        </w:rPr>
        <w:t>3.4花坛：植株生长健壮，花繁叶茂，无枯枝残花，色彩艳丽，整洁美观，图案清晰。花期整齐，始花期方可上花坛种植，株行距适宜，无缺株倒伏。</w:t>
      </w:r>
    </w:p>
    <w:p w14:paraId="0C3935BA">
      <w:pPr>
        <w:pStyle w:val="5"/>
        <w:ind w:firstLine="480"/>
        <w:jc w:val="both"/>
        <w:rPr>
          <w:highlight w:val="none"/>
        </w:rPr>
      </w:pPr>
      <w:r>
        <w:rPr>
          <w:rFonts w:ascii="仿宋_GB2312" w:hAnsi="仿宋_GB2312" w:eastAsia="仿宋_GB2312" w:cs="仿宋_GB2312"/>
          <w:sz w:val="20"/>
          <w:highlight w:val="none"/>
        </w:rPr>
        <w:t>3.5草坪（除林下空间外）：草坪生长茂盛，叶色正常，无空秃，无明显杂草。生长期不枯黄，适时修剪，确保草坪高度一致，边缘整齐，无坑洼积水。</w:t>
      </w:r>
    </w:p>
    <w:p w14:paraId="2F8DCE7C">
      <w:pPr>
        <w:pStyle w:val="5"/>
        <w:jc w:val="both"/>
        <w:rPr>
          <w:highlight w:val="none"/>
        </w:rPr>
      </w:pPr>
      <w:r>
        <w:rPr>
          <w:rFonts w:ascii="仿宋_GB2312" w:hAnsi="仿宋_GB2312" w:eastAsia="仿宋_GB2312" w:cs="仿宋_GB2312"/>
          <w:b/>
          <w:sz w:val="20"/>
          <w:highlight w:val="none"/>
        </w:rPr>
        <w:t>4.植物养护要求3</w:t>
      </w:r>
    </w:p>
    <w:p w14:paraId="3E3034F1">
      <w:pPr>
        <w:pStyle w:val="5"/>
        <w:ind w:firstLine="480"/>
        <w:jc w:val="left"/>
        <w:rPr>
          <w:highlight w:val="none"/>
        </w:rPr>
      </w:pPr>
      <w:r>
        <w:rPr>
          <w:rFonts w:ascii="仿宋_GB2312" w:hAnsi="仿宋_GB2312" w:eastAsia="仿宋_GB2312" w:cs="仿宋_GB2312"/>
          <w:sz w:val="20"/>
          <w:highlight w:val="none"/>
        </w:rPr>
        <w:t>4.1水生植物：植株健壮，花、叶色泽正常，无残花败叶。应经常清除杂草。老化及生长不良的水生植物应及时更换或更新种植。</w:t>
      </w:r>
    </w:p>
    <w:p w14:paraId="6B23D473">
      <w:pPr>
        <w:pStyle w:val="5"/>
        <w:jc w:val="both"/>
        <w:rPr>
          <w:highlight w:val="none"/>
        </w:rPr>
      </w:pPr>
      <w:r>
        <w:rPr>
          <w:rFonts w:ascii="仿宋_GB2312" w:hAnsi="仿宋_GB2312" w:eastAsia="仿宋_GB2312" w:cs="仿宋_GB2312"/>
          <w:b/>
          <w:sz w:val="20"/>
          <w:highlight w:val="none"/>
        </w:rPr>
        <w:t>5.植物养护要求4</w:t>
      </w:r>
    </w:p>
    <w:p w14:paraId="1E0F356F">
      <w:pPr>
        <w:pStyle w:val="5"/>
        <w:ind w:firstLine="480"/>
        <w:jc w:val="both"/>
        <w:rPr>
          <w:highlight w:val="none"/>
        </w:rPr>
      </w:pPr>
      <w:r>
        <w:rPr>
          <w:rFonts w:ascii="仿宋_GB2312" w:hAnsi="仿宋_GB2312" w:eastAsia="仿宋_GB2312" w:cs="仿宋_GB2312"/>
          <w:sz w:val="20"/>
          <w:highlight w:val="none"/>
        </w:rPr>
        <w:t>5.1水肥管理：土壤应保持疏松，无积水，不板结，根据植物生长特性和土壤肥力情况，合理施肥，根据当地气候特点，土壤保水、植物需水、根系吸水等情况适时适量进行浇水。</w:t>
      </w:r>
    </w:p>
    <w:p w14:paraId="659366D0">
      <w:pPr>
        <w:pStyle w:val="5"/>
        <w:ind w:firstLine="480"/>
        <w:jc w:val="both"/>
        <w:rPr>
          <w:highlight w:val="none"/>
        </w:rPr>
      </w:pPr>
      <w:r>
        <w:rPr>
          <w:rFonts w:ascii="仿宋_GB2312" w:hAnsi="仿宋_GB2312" w:eastAsia="仿宋_GB2312" w:cs="仿宋_GB2312"/>
          <w:sz w:val="20"/>
          <w:highlight w:val="none"/>
        </w:rPr>
        <w:t>5.2病虫害防治：提倡以防为主，综合防治，病虫害控制在不影响观赏效果的危害程度之内，基本无危害迹象。</w:t>
      </w:r>
    </w:p>
    <w:p w14:paraId="37CC7167">
      <w:pPr>
        <w:pStyle w:val="5"/>
        <w:jc w:val="both"/>
        <w:rPr>
          <w:highlight w:val="none"/>
        </w:rPr>
      </w:pPr>
      <w:r>
        <w:rPr>
          <w:rFonts w:ascii="仿宋_GB2312" w:hAnsi="仿宋_GB2312" w:eastAsia="仿宋_GB2312" w:cs="仿宋_GB2312"/>
          <w:b/>
          <w:sz w:val="20"/>
          <w:highlight w:val="none"/>
        </w:rPr>
        <w:t>6.管理员要求</w:t>
      </w:r>
    </w:p>
    <w:p w14:paraId="444E4889">
      <w:pPr>
        <w:pStyle w:val="5"/>
        <w:ind w:firstLine="480"/>
        <w:jc w:val="both"/>
        <w:rPr>
          <w:highlight w:val="none"/>
        </w:rPr>
      </w:pPr>
      <w:r>
        <w:rPr>
          <w:rFonts w:ascii="仿宋_GB2312" w:hAnsi="仿宋_GB2312" w:eastAsia="仿宋_GB2312" w:cs="仿宋_GB2312"/>
          <w:sz w:val="20"/>
          <w:highlight w:val="none"/>
        </w:rPr>
        <w:t>6.1管理员戴证上岗，跟班作业。</w:t>
      </w:r>
    </w:p>
    <w:p w14:paraId="4AF25BC6">
      <w:pPr>
        <w:pStyle w:val="5"/>
        <w:ind w:firstLine="480"/>
        <w:jc w:val="both"/>
        <w:rPr>
          <w:highlight w:val="none"/>
        </w:rPr>
      </w:pPr>
      <w:r>
        <w:rPr>
          <w:rFonts w:ascii="仿宋_GB2312" w:hAnsi="仿宋_GB2312" w:eastAsia="仿宋_GB2312" w:cs="仿宋_GB2312"/>
          <w:sz w:val="20"/>
          <w:highlight w:val="none"/>
        </w:rPr>
        <w:t>6.2落实作业标准，对各种问题及时整改到位并做好相关记录。</w:t>
      </w:r>
    </w:p>
    <w:p w14:paraId="7BFC0B3F">
      <w:pPr>
        <w:pStyle w:val="5"/>
        <w:jc w:val="both"/>
        <w:rPr>
          <w:highlight w:val="none"/>
        </w:rPr>
      </w:pPr>
      <w:r>
        <w:rPr>
          <w:rFonts w:ascii="仿宋_GB2312" w:hAnsi="仿宋_GB2312" w:eastAsia="仿宋_GB2312" w:cs="仿宋_GB2312"/>
          <w:b/>
          <w:sz w:val="20"/>
          <w:highlight w:val="none"/>
        </w:rPr>
        <w:t>7.养护人员要求</w:t>
      </w:r>
    </w:p>
    <w:p w14:paraId="34FC0BFA">
      <w:pPr>
        <w:pStyle w:val="5"/>
        <w:ind w:firstLine="480"/>
        <w:jc w:val="both"/>
        <w:rPr>
          <w:highlight w:val="none"/>
        </w:rPr>
      </w:pPr>
      <w:r>
        <w:rPr>
          <w:rFonts w:ascii="仿宋_GB2312" w:hAnsi="仿宋_GB2312" w:eastAsia="仿宋_GB2312" w:cs="仿宋_GB2312"/>
          <w:sz w:val="20"/>
          <w:highlight w:val="none"/>
        </w:rPr>
        <w:t>7.1养护人员需穿着带有反光标志的统一制服上岗。</w:t>
      </w:r>
    </w:p>
    <w:p w14:paraId="14CCDBD7">
      <w:pPr>
        <w:pStyle w:val="5"/>
        <w:ind w:firstLine="480"/>
        <w:jc w:val="both"/>
        <w:rPr>
          <w:highlight w:val="none"/>
        </w:rPr>
      </w:pPr>
      <w:r>
        <w:rPr>
          <w:rFonts w:ascii="仿宋_GB2312" w:hAnsi="仿宋_GB2312" w:eastAsia="仿宋_GB2312" w:cs="仿宋_GB2312"/>
          <w:sz w:val="20"/>
          <w:highlight w:val="none"/>
        </w:rPr>
        <w:t>7.2遵守交通法规，确保作业安全。</w:t>
      </w:r>
    </w:p>
    <w:p w14:paraId="120E640A">
      <w:pPr>
        <w:pStyle w:val="5"/>
        <w:ind w:firstLine="480"/>
        <w:jc w:val="both"/>
        <w:rPr>
          <w:highlight w:val="none"/>
        </w:rPr>
      </w:pPr>
      <w:r>
        <w:rPr>
          <w:rFonts w:ascii="仿宋_GB2312" w:hAnsi="仿宋_GB2312" w:eastAsia="仿宋_GB2312" w:cs="仿宋_GB2312"/>
          <w:sz w:val="20"/>
          <w:highlight w:val="none"/>
        </w:rPr>
        <w:t>7.3道路周边养护时，要设置明显的警示标志，避免影响交通和行人安全。</w:t>
      </w:r>
    </w:p>
    <w:p w14:paraId="6FAD568E">
      <w:pPr>
        <w:pStyle w:val="5"/>
        <w:jc w:val="both"/>
        <w:rPr>
          <w:highlight w:val="none"/>
        </w:rPr>
      </w:pPr>
      <w:r>
        <w:rPr>
          <w:rFonts w:ascii="仿宋_GB2312" w:hAnsi="仿宋_GB2312" w:eastAsia="仿宋_GB2312" w:cs="仿宋_GB2312"/>
          <w:b/>
          <w:sz w:val="20"/>
          <w:highlight w:val="none"/>
        </w:rPr>
        <w:t>8.作业车辆要求</w:t>
      </w:r>
    </w:p>
    <w:p w14:paraId="3B00DF99">
      <w:pPr>
        <w:pStyle w:val="5"/>
        <w:ind w:firstLine="480"/>
        <w:jc w:val="both"/>
        <w:rPr>
          <w:highlight w:val="none"/>
        </w:rPr>
      </w:pPr>
      <w:r>
        <w:rPr>
          <w:rFonts w:ascii="仿宋_GB2312" w:hAnsi="仿宋_GB2312" w:eastAsia="仿宋_GB2312" w:cs="仿宋_GB2312"/>
          <w:sz w:val="20"/>
          <w:highlight w:val="none"/>
        </w:rPr>
        <w:t>8.1除抢险外，日常园林绿化养护车辆需服从交通管理部门指挥，避开交通高峰期，以为造成路面拥堵。</w:t>
      </w:r>
    </w:p>
    <w:p w14:paraId="26F88E71">
      <w:pPr>
        <w:pStyle w:val="5"/>
        <w:ind w:firstLine="480"/>
        <w:jc w:val="both"/>
        <w:rPr>
          <w:highlight w:val="none"/>
        </w:rPr>
      </w:pPr>
      <w:r>
        <w:rPr>
          <w:rFonts w:ascii="仿宋_GB2312" w:hAnsi="仿宋_GB2312" w:eastAsia="仿宋_GB2312" w:cs="仿宋_GB2312"/>
          <w:sz w:val="20"/>
          <w:highlight w:val="none"/>
        </w:rPr>
        <w:t>8.2车辆车容洁净，专用标志和警示灯清晰完整。</w:t>
      </w:r>
    </w:p>
    <w:p w14:paraId="229420E3">
      <w:pPr>
        <w:pStyle w:val="5"/>
        <w:jc w:val="both"/>
        <w:rPr>
          <w:highlight w:val="none"/>
        </w:rPr>
      </w:pPr>
      <w:r>
        <w:rPr>
          <w:rFonts w:ascii="仿宋_GB2312" w:hAnsi="仿宋_GB2312" w:eastAsia="仿宋_GB2312" w:cs="仿宋_GB2312"/>
          <w:b/>
          <w:sz w:val="20"/>
          <w:highlight w:val="none"/>
        </w:rPr>
        <w:t>9.安全文明养护</w:t>
      </w:r>
    </w:p>
    <w:p w14:paraId="7DCA7798">
      <w:pPr>
        <w:pStyle w:val="5"/>
        <w:ind w:firstLine="480"/>
        <w:jc w:val="both"/>
        <w:rPr>
          <w:highlight w:val="none"/>
        </w:rPr>
      </w:pPr>
      <w:r>
        <w:rPr>
          <w:rFonts w:ascii="仿宋_GB2312" w:hAnsi="仿宋_GB2312" w:eastAsia="仿宋_GB2312" w:cs="仿宋_GB2312"/>
          <w:sz w:val="20"/>
          <w:highlight w:val="none"/>
        </w:rPr>
        <w:t>9.1养护人员要配备合适的安全防护装备，如安全帽等。</w:t>
      </w:r>
    </w:p>
    <w:p w14:paraId="52577079">
      <w:pPr>
        <w:pStyle w:val="5"/>
        <w:ind w:firstLine="480"/>
        <w:jc w:val="both"/>
        <w:rPr>
          <w:highlight w:val="none"/>
        </w:rPr>
      </w:pPr>
      <w:r>
        <w:rPr>
          <w:rFonts w:ascii="仿宋_GB2312" w:hAnsi="仿宋_GB2312" w:eastAsia="仿宋_GB2312" w:cs="仿宋_GB2312"/>
          <w:sz w:val="20"/>
          <w:highlight w:val="none"/>
        </w:rPr>
        <w:t>9.2使用工具和机械时要严格遵守操作规程，防止意外发生。</w:t>
      </w:r>
    </w:p>
    <w:p w14:paraId="07579F7C">
      <w:pPr>
        <w:pStyle w:val="5"/>
        <w:ind w:firstLine="480"/>
        <w:jc w:val="both"/>
        <w:rPr>
          <w:highlight w:val="none"/>
        </w:rPr>
      </w:pPr>
      <w:r>
        <w:rPr>
          <w:rFonts w:ascii="仿宋_GB2312" w:hAnsi="仿宋_GB2312" w:eastAsia="仿宋_GB2312" w:cs="仿宋_GB2312"/>
          <w:sz w:val="20"/>
          <w:highlight w:val="none"/>
        </w:rPr>
        <w:t>9.3对高空作业等特殊作业要进行严格监管和培训。</w:t>
      </w:r>
    </w:p>
    <w:p w14:paraId="284D1DBA">
      <w:pPr>
        <w:pStyle w:val="5"/>
        <w:ind w:firstLine="480"/>
        <w:jc w:val="both"/>
        <w:rPr>
          <w:highlight w:val="none"/>
        </w:rPr>
      </w:pPr>
      <w:r>
        <w:rPr>
          <w:rFonts w:ascii="仿宋_GB2312" w:hAnsi="仿宋_GB2312" w:eastAsia="仿宋_GB2312" w:cs="仿宋_GB2312"/>
          <w:sz w:val="20"/>
          <w:highlight w:val="none"/>
        </w:rPr>
        <w:t>9.4定期检查和维护园林设施（含游乐设施），确保其安全性。</w:t>
      </w:r>
    </w:p>
    <w:p w14:paraId="6F9A4047">
      <w:pPr>
        <w:pStyle w:val="5"/>
        <w:ind w:firstLine="480"/>
        <w:jc w:val="both"/>
        <w:rPr>
          <w:highlight w:val="none"/>
        </w:rPr>
      </w:pPr>
      <w:r>
        <w:rPr>
          <w:rFonts w:ascii="仿宋_GB2312" w:hAnsi="仿宋_GB2312" w:eastAsia="仿宋_GB2312" w:cs="仿宋_GB2312"/>
          <w:sz w:val="20"/>
          <w:highlight w:val="none"/>
        </w:rPr>
        <w:t>9.5及时清理养护过程中产生的园林废弃物，保持环境整洁。</w:t>
      </w:r>
    </w:p>
    <w:p w14:paraId="4DF317FB">
      <w:pPr>
        <w:pStyle w:val="5"/>
        <w:ind w:firstLine="480"/>
        <w:jc w:val="both"/>
        <w:rPr>
          <w:highlight w:val="none"/>
        </w:rPr>
      </w:pPr>
      <w:r>
        <w:rPr>
          <w:rFonts w:ascii="仿宋_GB2312" w:hAnsi="仿宋_GB2312" w:eastAsia="仿宋_GB2312" w:cs="仿宋_GB2312"/>
          <w:sz w:val="20"/>
          <w:highlight w:val="none"/>
        </w:rPr>
        <w:t>9.6养护人员要注意言行举止文明，树立良好形象。</w:t>
      </w:r>
    </w:p>
    <w:p w14:paraId="76F3FB4F">
      <w:pPr>
        <w:pStyle w:val="5"/>
        <w:jc w:val="both"/>
        <w:rPr>
          <w:highlight w:val="none"/>
        </w:rPr>
      </w:pPr>
      <w:r>
        <w:rPr>
          <w:rFonts w:ascii="仿宋_GB2312" w:hAnsi="仿宋_GB2312" w:eastAsia="仿宋_GB2312" w:cs="仿宋_GB2312"/>
          <w:b/>
          <w:sz w:val="20"/>
          <w:highlight w:val="none"/>
        </w:rPr>
        <w:t>10.精细化养护</w:t>
      </w:r>
    </w:p>
    <w:p w14:paraId="089DAB8D">
      <w:pPr>
        <w:pStyle w:val="5"/>
        <w:ind w:firstLine="480"/>
        <w:jc w:val="left"/>
        <w:rPr>
          <w:highlight w:val="none"/>
        </w:rPr>
      </w:pPr>
      <w:r>
        <w:rPr>
          <w:rFonts w:ascii="仿宋_GB2312" w:hAnsi="仿宋_GB2312" w:eastAsia="仿宋_GB2312" w:cs="仿宋_GB2312"/>
          <w:sz w:val="20"/>
          <w:highlight w:val="none"/>
        </w:rPr>
        <w:t>10.1中标人需针对中标项目的绿化情况，按精细化养护标准进行精细化养护作业。</w:t>
      </w:r>
    </w:p>
    <w:p w14:paraId="26EEDD32">
      <w:pPr>
        <w:pStyle w:val="5"/>
        <w:ind w:firstLine="480"/>
        <w:jc w:val="left"/>
        <w:rPr>
          <w:highlight w:val="none"/>
        </w:rPr>
      </w:pPr>
      <w:r>
        <w:rPr>
          <w:rFonts w:ascii="仿宋_GB2312" w:hAnsi="仿宋_GB2312" w:eastAsia="仿宋_GB2312" w:cs="仿宋_GB2312"/>
          <w:sz w:val="20"/>
          <w:highlight w:val="none"/>
        </w:rPr>
        <w:t>10.2中标人需按照经采购人同意的精细化养护方案，认真按照养护月历开展养护作业。</w:t>
      </w:r>
    </w:p>
    <w:p w14:paraId="1AAA2EBE">
      <w:pPr>
        <w:pStyle w:val="5"/>
        <w:ind w:firstLine="400"/>
        <w:jc w:val="both"/>
        <w:rPr>
          <w:highlight w:val="none"/>
        </w:rPr>
      </w:pPr>
      <w:r>
        <w:rPr>
          <w:rFonts w:ascii="仿宋_GB2312" w:hAnsi="仿宋_GB2312" w:eastAsia="仿宋_GB2312" w:cs="仿宋_GB2312"/>
          <w:sz w:val="20"/>
          <w:highlight w:val="none"/>
        </w:rPr>
        <w:t>10.3中标人需按照采购人的要求，建立不同类型绿地、行道树的修剪和养护作业的示范段，并按此要求进行养护作业。</w:t>
      </w:r>
    </w:p>
    <w:p w14:paraId="1B3627C9">
      <w:pPr>
        <w:pStyle w:val="5"/>
        <w:jc w:val="both"/>
        <w:outlineLvl w:val="2"/>
        <w:rPr>
          <w:highlight w:val="none"/>
        </w:rPr>
      </w:pPr>
      <w:r>
        <w:rPr>
          <w:rFonts w:ascii="仿宋_GB2312" w:hAnsi="仿宋_GB2312" w:eastAsia="仿宋_GB2312" w:cs="仿宋_GB2312"/>
          <w:b/>
          <w:sz w:val="28"/>
          <w:highlight w:val="none"/>
        </w:rPr>
        <w:t>三、商务要求（以“★”标示的内容为不允许负偏离的实质性要求）</w:t>
      </w:r>
    </w:p>
    <w:p w14:paraId="4F131B22">
      <w:pPr>
        <w:pStyle w:val="5"/>
        <w:jc w:val="left"/>
        <w:rPr>
          <w:highlight w:val="none"/>
        </w:rPr>
      </w:pPr>
      <w:r>
        <w:rPr>
          <w:rFonts w:ascii="仿宋_GB2312" w:hAnsi="仿宋_GB2312" w:eastAsia="仿宋_GB2312" w:cs="仿宋_GB2312"/>
          <w:highlight w:val="none"/>
        </w:rPr>
        <w:t>采购包1：</w:t>
      </w:r>
    </w:p>
    <w:tbl>
      <w:tblPr>
        <w:tblStyle w:val="2"/>
        <w:tblW w:w="872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3"/>
        <w:gridCol w:w="1163"/>
        <w:gridCol w:w="2112"/>
        <w:gridCol w:w="4725"/>
      </w:tblGrid>
      <w:tr w14:paraId="4C4B4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58139EF1">
            <w:pPr>
              <w:pStyle w:val="5"/>
              <w:jc w:val="left"/>
              <w:rPr>
                <w:highlight w:val="none"/>
              </w:rPr>
            </w:pPr>
            <w:r>
              <w:rPr>
                <w:rFonts w:ascii="仿宋_GB2312" w:hAnsi="仿宋_GB2312" w:eastAsia="仿宋_GB2312" w:cs="仿宋_GB2312"/>
                <w:highlight w:val="none"/>
              </w:rPr>
              <w:t>序号</w:t>
            </w:r>
          </w:p>
        </w:tc>
        <w:tc>
          <w:tcPr>
            <w:tcW w:w="1163" w:type="dxa"/>
          </w:tcPr>
          <w:p w14:paraId="3C55358B">
            <w:pPr>
              <w:pStyle w:val="5"/>
              <w:jc w:val="left"/>
              <w:rPr>
                <w:highlight w:val="none"/>
              </w:rPr>
            </w:pPr>
            <w:r>
              <w:rPr>
                <w:rFonts w:ascii="仿宋_GB2312" w:hAnsi="仿宋_GB2312" w:eastAsia="仿宋_GB2312" w:cs="仿宋_GB2312"/>
                <w:highlight w:val="none"/>
              </w:rPr>
              <w:t>参数性质</w:t>
            </w:r>
          </w:p>
        </w:tc>
        <w:tc>
          <w:tcPr>
            <w:tcW w:w="2112" w:type="dxa"/>
          </w:tcPr>
          <w:p w14:paraId="177A6806">
            <w:pPr>
              <w:pStyle w:val="5"/>
              <w:jc w:val="left"/>
              <w:rPr>
                <w:highlight w:val="none"/>
              </w:rPr>
            </w:pPr>
            <w:r>
              <w:rPr>
                <w:rFonts w:ascii="仿宋_GB2312" w:hAnsi="仿宋_GB2312" w:eastAsia="仿宋_GB2312" w:cs="仿宋_GB2312"/>
                <w:highlight w:val="none"/>
              </w:rPr>
              <w:t>类型</w:t>
            </w:r>
          </w:p>
        </w:tc>
        <w:tc>
          <w:tcPr>
            <w:tcW w:w="4725" w:type="dxa"/>
          </w:tcPr>
          <w:p w14:paraId="3A177C56">
            <w:pPr>
              <w:pStyle w:val="5"/>
              <w:jc w:val="left"/>
              <w:rPr>
                <w:highlight w:val="none"/>
              </w:rPr>
            </w:pPr>
            <w:r>
              <w:rPr>
                <w:rFonts w:ascii="仿宋_GB2312" w:hAnsi="仿宋_GB2312" w:eastAsia="仿宋_GB2312" w:cs="仿宋_GB2312"/>
                <w:highlight w:val="none"/>
              </w:rPr>
              <w:t>要求</w:t>
            </w:r>
          </w:p>
        </w:tc>
      </w:tr>
      <w:tr w14:paraId="70838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58964FF9">
            <w:pPr>
              <w:pStyle w:val="5"/>
              <w:jc w:val="left"/>
              <w:rPr>
                <w:highlight w:val="none"/>
              </w:rPr>
            </w:pPr>
            <w:r>
              <w:rPr>
                <w:rFonts w:ascii="仿宋_GB2312" w:hAnsi="仿宋_GB2312" w:eastAsia="仿宋_GB2312" w:cs="仿宋_GB2312"/>
                <w:highlight w:val="none"/>
              </w:rPr>
              <w:t>1</w:t>
            </w:r>
          </w:p>
        </w:tc>
        <w:tc>
          <w:tcPr>
            <w:tcW w:w="1163" w:type="dxa"/>
          </w:tcPr>
          <w:p w14:paraId="07BEEA0B">
            <w:pPr>
              <w:pStyle w:val="5"/>
              <w:jc w:val="left"/>
              <w:rPr>
                <w:highlight w:val="none"/>
              </w:rPr>
            </w:pPr>
            <w:r>
              <w:rPr>
                <w:rFonts w:ascii="仿宋_GB2312" w:hAnsi="仿宋_GB2312" w:eastAsia="仿宋_GB2312" w:cs="仿宋_GB2312"/>
                <w:highlight w:val="none"/>
              </w:rPr>
              <w:t>★</w:t>
            </w:r>
          </w:p>
        </w:tc>
        <w:tc>
          <w:tcPr>
            <w:tcW w:w="2112" w:type="dxa"/>
          </w:tcPr>
          <w:p w14:paraId="03993CDB">
            <w:pPr>
              <w:pStyle w:val="5"/>
              <w:jc w:val="left"/>
              <w:rPr>
                <w:highlight w:val="none"/>
              </w:rPr>
            </w:pPr>
            <w:r>
              <w:rPr>
                <w:rFonts w:ascii="仿宋_GB2312" w:hAnsi="仿宋_GB2312" w:eastAsia="仿宋_GB2312" w:cs="仿宋_GB2312"/>
                <w:highlight w:val="none"/>
              </w:rPr>
              <w:t>交货时间</w:t>
            </w:r>
          </w:p>
        </w:tc>
        <w:tc>
          <w:tcPr>
            <w:tcW w:w="4725" w:type="dxa"/>
          </w:tcPr>
          <w:p w14:paraId="76BBC993">
            <w:pPr>
              <w:pStyle w:val="5"/>
              <w:jc w:val="left"/>
              <w:rPr>
                <w:rFonts w:hint="eastAsia" w:eastAsia="仿宋_GB2312"/>
                <w:highlight w:val="none"/>
                <w:lang w:eastAsia="zh-CN"/>
              </w:rPr>
            </w:pPr>
            <w:r>
              <w:rPr>
                <w:rFonts w:ascii="仿宋_GB2312" w:hAnsi="仿宋_GB2312" w:eastAsia="仿宋_GB2312" w:cs="仿宋_GB2312"/>
                <w:highlight w:val="none"/>
              </w:rPr>
              <w:t>服务期</w:t>
            </w:r>
            <w:r>
              <w:rPr>
                <w:rFonts w:hint="eastAsia" w:ascii="仿宋_GB2312" w:hAnsi="仿宋_GB2312" w:eastAsia="仿宋_GB2312" w:cs="仿宋_GB2312"/>
                <w:highlight w:val="none"/>
                <w:lang w:eastAsia="zh-CN"/>
              </w:rPr>
              <w:t>自</w:t>
            </w:r>
            <w:r>
              <w:rPr>
                <w:rFonts w:ascii="仿宋_GB2312" w:hAnsi="仿宋_GB2312" w:eastAsia="仿宋_GB2312" w:cs="仿宋_GB2312"/>
                <w:highlight w:val="none"/>
              </w:rPr>
              <w:t>合同签订之日起至2027年10月31日</w:t>
            </w:r>
            <w:r>
              <w:rPr>
                <w:rFonts w:hint="eastAsia" w:ascii="仿宋_GB2312" w:hAnsi="仿宋_GB2312" w:eastAsia="仿宋_GB2312" w:cs="仿宋_GB2312"/>
                <w:highlight w:val="none"/>
                <w:lang w:eastAsia="zh-CN"/>
              </w:rPr>
              <w:t>止</w:t>
            </w:r>
          </w:p>
        </w:tc>
      </w:tr>
      <w:tr w14:paraId="3595D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5EA26CB9">
            <w:pPr>
              <w:pStyle w:val="5"/>
              <w:jc w:val="left"/>
              <w:rPr>
                <w:highlight w:val="none"/>
              </w:rPr>
            </w:pPr>
            <w:r>
              <w:rPr>
                <w:rFonts w:ascii="仿宋_GB2312" w:hAnsi="仿宋_GB2312" w:eastAsia="仿宋_GB2312" w:cs="仿宋_GB2312"/>
                <w:highlight w:val="none"/>
              </w:rPr>
              <w:t>2</w:t>
            </w:r>
          </w:p>
        </w:tc>
        <w:tc>
          <w:tcPr>
            <w:tcW w:w="1163" w:type="dxa"/>
          </w:tcPr>
          <w:p w14:paraId="1A043810">
            <w:pPr>
              <w:pStyle w:val="5"/>
              <w:jc w:val="left"/>
              <w:rPr>
                <w:highlight w:val="none"/>
              </w:rPr>
            </w:pPr>
            <w:r>
              <w:rPr>
                <w:rFonts w:ascii="仿宋_GB2312" w:hAnsi="仿宋_GB2312" w:eastAsia="仿宋_GB2312" w:cs="仿宋_GB2312"/>
                <w:highlight w:val="none"/>
              </w:rPr>
              <w:t>★</w:t>
            </w:r>
          </w:p>
        </w:tc>
        <w:tc>
          <w:tcPr>
            <w:tcW w:w="2112" w:type="dxa"/>
          </w:tcPr>
          <w:p w14:paraId="2817371D">
            <w:pPr>
              <w:pStyle w:val="5"/>
              <w:jc w:val="left"/>
              <w:rPr>
                <w:highlight w:val="none"/>
              </w:rPr>
            </w:pPr>
            <w:r>
              <w:rPr>
                <w:rFonts w:ascii="仿宋_GB2312" w:hAnsi="仿宋_GB2312" w:eastAsia="仿宋_GB2312" w:cs="仿宋_GB2312"/>
                <w:highlight w:val="none"/>
              </w:rPr>
              <w:t>交货地点</w:t>
            </w:r>
          </w:p>
        </w:tc>
        <w:tc>
          <w:tcPr>
            <w:tcW w:w="4725" w:type="dxa"/>
          </w:tcPr>
          <w:p w14:paraId="445F39AC">
            <w:pPr>
              <w:pStyle w:val="5"/>
              <w:jc w:val="left"/>
              <w:rPr>
                <w:highlight w:val="none"/>
              </w:rPr>
            </w:pPr>
            <w:r>
              <w:rPr>
                <w:rFonts w:ascii="仿宋_GB2312" w:hAnsi="仿宋_GB2312" w:eastAsia="仿宋_GB2312" w:cs="仿宋_GB2312"/>
                <w:highlight w:val="none"/>
              </w:rPr>
              <w:t>福建省福州市</w:t>
            </w:r>
          </w:p>
        </w:tc>
      </w:tr>
      <w:tr w14:paraId="302C0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687EAAA6">
            <w:pPr>
              <w:pStyle w:val="5"/>
              <w:jc w:val="left"/>
              <w:rPr>
                <w:highlight w:val="none"/>
              </w:rPr>
            </w:pPr>
            <w:r>
              <w:rPr>
                <w:rFonts w:ascii="仿宋_GB2312" w:hAnsi="仿宋_GB2312" w:eastAsia="仿宋_GB2312" w:cs="仿宋_GB2312"/>
                <w:highlight w:val="none"/>
              </w:rPr>
              <w:t>3</w:t>
            </w:r>
          </w:p>
        </w:tc>
        <w:tc>
          <w:tcPr>
            <w:tcW w:w="1163" w:type="dxa"/>
          </w:tcPr>
          <w:p w14:paraId="4257DA92">
            <w:pPr>
              <w:pStyle w:val="5"/>
              <w:jc w:val="left"/>
              <w:rPr>
                <w:highlight w:val="none"/>
              </w:rPr>
            </w:pPr>
            <w:r>
              <w:rPr>
                <w:rFonts w:ascii="仿宋_GB2312" w:hAnsi="仿宋_GB2312" w:eastAsia="仿宋_GB2312" w:cs="仿宋_GB2312"/>
                <w:highlight w:val="none"/>
              </w:rPr>
              <w:t>★</w:t>
            </w:r>
          </w:p>
        </w:tc>
        <w:tc>
          <w:tcPr>
            <w:tcW w:w="2112" w:type="dxa"/>
          </w:tcPr>
          <w:p w14:paraId="112E779E">
            <w:pPr>
              <w:pStyle w:val="5"/>
              <w:jc w:val="left"/>
              <w:rPr>
                <w:highlight w:val="none"/>
              </w:rPr>
            </w:pPr>
            <w:r>
              <w:rPr>
                <w:rFonts w:ascii="仿宋_GB2312" w:hAnsi="仿宋_GB2312" w:eastAsia="仿宋_GB2312" w:cs="仿宋_GB2312"/>
                <w:highlight w:val="none"/>
              </w:rPr>
              <w:t>交货条件</w:t>
            </w:r>
          </w:p>
        </w:tc>
        <w:tc>
          <w:tcPr>
            <w:tcW w:w="4725" w:type="dxa"/>
          </w:tcPr>
          <w:p w14:paraId="2FB1384B">
            <w:pPr>
              <w:pStyle w:val="5"/>
              <w:jc w:val="left"/>
              <w:rPr>
                <w:highlight w:val="none"/>
              </w:rPr>
            </w:pPr>
            <w:r>
              <w:rPr>
                <w:rFonts w:ascii="仿宋_GB2312" w:hAnsi="仿宋_GB2312" w:eastAsia="仿宋_GB2312" w:cs="仿宋_GB2312"/>
                <w:highlight w:val="none"/>
              </w:rPr>
              <w:t>符合招标文件要求及中标人投标文件响应承诺的服务</w:t>
            </w:r>
          </w:p>
        </w:tc>
      </w:tr>
      <w:tr w14:paraId="1D128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570C3D4E">
            <w:pPr>
              <w:pStyle w:val="5"/>
              <w:jc w:val="left"/>
              <w:rPr>
                <w:highlight w:val="none"/>
              </w:rPr>
            </w:pPr>
            <w:r>
              <w:rPr>
                <w:rFonts w:ascii="仿宋_GB2312" w:hAnsi="仿宋_GB2312" w:eastAsia="仿宋_GB2312" w:cs="仿宋_GB2312"/>
                <w:highlight w:val="none"/>
              </w:rPr>
              <w:t>4</w:t>
            </w:r>
          </w:p>
        </w:tc>
        <w:tc>
          <w:tcPr>
            <w:tcW w:w="1163" w:type="dxa"/>
          </w:tcPr>
          <w:p w14:paraId="6A325440">
            <w:pPr>
              <w:pStyle w:val="5"/>
              <w:jc w:val="left"/>
              <w:rPr>
                <w:highlight w:val="none"/>
              </w:rPr>
            </w:pPr>
            <w:r>
              <w:rPr>
                <w:rFonts w:ascii="仿宋_GB2312" w:hAnsi="仿宋_GB2312" w:eastAsia="仿宋_GB2312" w:cs="仿宋_GB2312"/>
                <w:highlight w:val="none"/>
              </w:rPr>
              <w:t>★</w:t>
            </w:r>
          </w:p>
        </w:tc>
        <w:tc>
          <w:tcPr>
            <w:tcW w:w="2112" w:type="dxa"/>
          </w:tcPr>
          <w:p w14:paraId="34DADDBB">
            <w:pPr>
              <w:pStyle w:val="5"/>
              <w:jc w:val="left"/>
              <w:rPr>
                <w:highlight w:val="none"/>
              </w:rPr>
            </w:pPr>
            <w:r>
              <w:rPr>
                <w:rFonts w:ascii="仿宋_GB2312" w:hAnsi="仿宋_GB2312" w:eastAsia="仿宋_GB2312" w:cs="仿宋_GB2312"/>
                <w:highlight w:val="none"/>
              </w:rPr>
              <w:t>是否邀请投标人验收</w:t>
            </w:r>
          </w:p>
        </w:tc>
        <w:tc>
          <w:tcPr>
            <w:tcW w:w="4725" w:type="dxa"/>
          </w:tcPr>
          <w:p w14:paraId="018017D1">
            <w:pPr>
              <w:pStyle w:val="5"/>
              <w:jc w:val="left"/>
              <w:rPr>
                <w:highlight w:val="none"/>
              </w:rPr>
            </w:pPr>
            <w:r>
              <w:rPr>
                <w:rFonts w:ascii="仿宋_GB2312" w:hAnsi="仿宋_GB2312" w:eastAsia="仿宋_GB2312" w:cs="仿宋_GB2312"/>
                <w:highlight w:val="none"/>
              </w:rPr>
              <w:t>不邀请投标人验收</w:t>
            </w:r>
          </w:p>
        </w:tc>
      </w:tr>
      <w:tr w14:paraId="0590B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72D88D90">
            <w:pPr>
              <w:pStyle w:val="5"/>
              <w:jc w:val="left"/>
              <w:rPr>
                <w:highlight w:val="none"/>
              </w:rPr>
            </w:pPr>
            <w:r>
              <w:rPr>
                <w:rFonts w:ascii="仿宋_GB2312" w:hAnsi="仿宋_GB2312" w:eastAsia="仿宋_GB2312" w:cs="仿宋_GB2312"/>
                <w:highlight w:val="none"/>
              </w:rPr>
              <w:t>5</w:t>
            </w:r>
          </w:p>
        </w:tc>
        <w:tc>
          <w:tcPr>
            <w:tcW w:w="1163" w:type="dxa"/>
          </w:tcPr>
          <w:p w14:paraId="3D88076C">
            <w:pPr>
              <w:pStyle w:val="5"/>
              <w:jc w:val="left"/>
              <w:rPr>
                <w:highlight w:val="none"/>
              </w:rPr>
            </w:pPr>
            <w:r>
              <w:rPr>
                <w:rFonts w:ascii="仿宋_GB2312" w:hAnsi="仿宋_GB2312" w:eastAsia="仿宋_GB2312" w:cs="仿宋_GB2312"/>
                <w:highlight w:val="none"/>
              </w:rPr>
              <w:t>★</w:t>
            </w:r>
          </w:p>
        </w:tc>
        <w:tc>
          <w:tcPr>
            <w:tcW w:w="2112" w:type="dxa"/>
          </w:tcPr>
          <w:p w14:paraId="3A15FBA2">
            <w:pPr>
              <w:pStyle w:val="5"/>
              <w:jc w:val="left"/>
              <w:rPr>
                <w:highlight w:val="none"/>
              </w:rPr>
            </w:pPr>
            <w:r>
              <w:rPr>
                <w:rFonts w:ascii="仿宋_GB2312" w:hAnsi="仿宋_GB2312" w:eastAsia="仿宋_GB2312" w:cs="仿宋_GB2312"/>
                <w:highlight w:val="none"/>
              </w:rPr>
              <w:t>履约验收方式</w:t>
            </w:r>
          </w:p>
        </w:tc>
        <w:tc>
          <w:tcPr>
            <w:tcW w:w="4725" w:type="dxa"/>
          </w:tcPr>
          <w:p w14:paraId="1D645EB0">
            <w:pPr>
              <w:pStyle w:val="5"/>
              <w:jc w:val="left"/>
              <w:rPr>
                <w:highlight w:val="none"/>
              </w:rPr>
            </w:pPr>
            <w:r>
              <w:rPr>
                <w:rFonts w:ascii="仿宋_GB2312" w:hAnsi="仿宋_GB2312" w:eastAsia="仿宋_GB2312" w:cs="仿宋_GB2312"/>
                <w:highlight w:val="none"/>
              </w:rPr>
              <w:t>1、期次1，说明：按季考核，服务期结束后由采购人根据考核情况进行验收</w:t>
            </w:r>
          </w:p>
        </w:tc>
      </w:tr>
      <w:tr w14:paraId="12C76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3F8180BB">
            <w:pPr>
              <w:pStyle w:val="5"/>
              <w:jc w:val="left"/>
              <w:rPr>
                <w:highlight w:val="none"/>
              </w:rPr>
            </w:pPr>
            <w:r>
              <w:rPr>
                <w:rFonts w:ascii="仿宋_GB2312" w:hAnsi="仿宋_GB2312" w:eastAsia="仿宋_GB2312" w:cs="仿宋_GB2312"/>
                <w:highlight w:val="none"/>
              </w:rPr>
              <w:t>6</w:t>
            </w:r>
          </w:p>
        </w:tc>
        <w:tc>
          <w:tcPr>
            <w:tcW w:w="1163" w:type="dxa"/>
          </w:tcPr>
          <w:p w14:paraId="1FD61447">
            <w:pPr>
              <w:pStyle w:val="5"/>
              <w:jc w:val="left"/>
              <w:rPr>
                <w:highlight w:val="none"/>
              </w:rPr>
            </w:pPr>
            <w:r>
              <w:rPr>
                <w:rFonts w:ascii="仿宋_GB2312" w:hAnsi="仿宋_GB2312" w:eastAsia="仿宋_GB2312" w:cs="仿宋_GB2312"/>
                <w:highlight w:val="none"/>
              </w:rPr>
              <w:t>★</w:t>
            </w:r>
          </w:p>
        </w:tc>
        <w:tc>
          <w:tcPr>
            <w:tcW w:w="2112" w:type="dxa"/>
          </w:tcPr>
          <w:p w14:paraId="7F9BD04C">
            <w:pPr>
              <w:pStyle w:val="5"/>
              <w:jc w:val="left"/>
              <w:rPr>
                <w:highlight w:val="none"/>
              </w:rPr>
            </w:pPr>
            <w:r>
              <w:rPr>
                <w:rFonts w:ascii="仿宋_GB2312" w:hAnsi="仿宋_GB2312" w:eastAsia="仿宋_GB2312" w:cs="仿宋_GB2312"/>
                <w:highlight w:val="none"/>
              </w:rPr>
              <w:t>合同支付方式</w:t>
            </w:r>
          </w:p>
        </w:tc>
        <w:tc>
          <w:tcPr>
            <w:tcW w:w="4725" w:type="dxa"/>
          </w:tcPr>
          <w:p w14:paraId="794FC298">
            <w:pPr>
              <w:pStyle w:val="5"/>
              <w:jc w:val="left"/>
              <w:rPr>
                <w:highlight w:val="none"/>
              </w:rPr>
            </w:pPr>
            <w:r>
              <w:rPr>
                <w:rFonts w:ascii="仿宋_GB2312" w:hAnsi="仿宋_GB2312" w:eastAsia="仿宋_GB2312" w:cs="仿宋_GB2312"/>
                <w:highlight w:val="none"/>
              </w:rPr>
              <w:t>1、进度款，完成日常养护，按季度付款，达到付款条件起10日内，支付合同总金额的25.00%</w:t>
            </w:r>
          </w:p>
          <w:p w14:paraId="6A129C26">
            <w:pPr>
              <w:pStyle w:val="5"/>
              <w:jc w:val="left"/>
              <w:rPr>
                <w:highlight w:val="none"/>
              </w:rPr>
            </w:pPr>
            <w:r>
              <w:rPr>
                <w:rFonts w:ascii="仿宋_GB2312" w:hAnsi="仿宋_GB2312" w:eastAsia="仿宋_GB2312" w:cs="仿宋_GB2312"/>
                <w:highlight w:val="none"/>
              </w:rPr>
              <w:t>2、进度款，完成日常养护，按季度付款，达到付款条件起10日内，支付合同总金额的25.00%</w:t>
            </w:r>
          </w:p>
          <w:p w14:paraId="7F9B4FFF">
            <w:pPr>
              <w:pStyle w:val="5"/>
              <w:jc w:val="left"/>
              <w:rPr>
                <w:highlight w:val="none"/>
              </w:rPr>
            </w:pPr>
            <w:r>
              <w:rPr>
                <w:rFonts w:ascii="仿宋_GB2312" w:hAnsi="仿宋_GB2312" w:eastAsia="仿宋_GB2312" w:cs="仿宋_GB2312"/>
                <w:highlight w:val="none"/>
              </w:rPr>
              <w:t>3、进度款，完成日常养护，按季度付款，达到付款条件起10日内，支付合同总金额的25.00%</w:t>
            </w:r>
          </w:p>
          <w:p w14:paraId="42E002F4">
            <w:pPr>
              <w:pStyle w:val="5"/>
              <w:jc w:val="left"/>
              <w:rPr>
                <w:highlight w:val="none"/>
              </w:rPr>
            </w:pPr>
            <w:r>
              <w:rPr>
                <w:rFonts w:ascii="仿宋_GB2312" w:hAnsi="仿宋_GB2312" w:eastAsia="仿宋_GB2312" w:cs="仿宋_GB2312"/>
                <w:highlight w:val="none"/>
              </w:rPr>
              <w:t>4、进度款，服务期结束，并经采购人验收合格，达到付款条件起10日内，支付合同总金额的25.00%</w:t>
            </w:r>
          </w:p>
        </w:tc>
      </w:tr>
      <w:tr w14:paraId="7ACEC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664BAD5C">
            <w:pPr>
              <w:pStyle w:val="5"/>
              <w:jc w:val="left"/>
              <w:rPr>
                <w:highlight w:val="none"/>
              </w:rPr>
            </w:pPr>
            <w:r>
              <w:rPr>
                <w:rFonts w:ascii="仿宋_GB2312" w:hAnsi="仿宋_GB2312" w:eastAsia="仿宋_GB2312" w:cs="仿宋_GB2312"/>
                <w:highlight w:val="none"/>
              </w:rPr>
              <w:t>7</w:t>
            </w:r>
          </w:p>
        </w:tc>
        <w:tc>
          <w:tcPr>
            <w:tcW w:w="1163" w:type="dxa"/>
          </w:tcPr>
          <w:p w14:paraId="4D2849BB">
            <w:pPr>
              <w:pStyle w:val="5"/>
              <w:jc w:val="left"/>
              <w:rPr>
                <w:highlight w:val="none"/>
              </w:rPr>
            </w:pPr>
            <w:r>
              <w:rPr>
                <w:rFonts w:ascii="仿宋_GB2312" w:hAnsi="仿宋_GB2312" w:eastAsia="仿宋_GB2312" w:cs="仿宋_GB2312"/>
                <w:highlight w:val="none"/>
              </w:rPr>
              <w:t>★</w:t>
            </w:r>
          </w:p>
        </w:tc>
        <w:tc>
          <w:tcPr>
            <w:tcW w:w="2112" w:type="dxa"/>
          </w:tcPr>
          <w:p w14:paraId="59769D07">
            <w:pPr>
              <w:pStyle w:val="5"/>
              <w:jc w:val="left"/>
              <w:rPr>
                <w:highlight w:val="none"/>
              </w:rPr>
            </w:pPr>
            <w:r>
              <w:rPr>
                <w:rFonts w:ascii="仿宋_GB2312" w:hAnsi="仿宋_GB2312" w:eastAsia="仿宋_GB2312" w:cs="仿宋_GB2312"/>
                <w:highlight w:val="none"/>
              </w:rPr>
              <w:t>其他</w:t>
            </w:r>
          </w:p>
        </w:tc>
        <w:tc>
          <w:tcPr>
            <w:tcW w:w="4725" w:type="dxa"/>
          </w:tcPr>
          <w:p w14:paraId="423CD430">
            <w:pPr>
              <w:pStyle w:val="5"/>
              <w:jc w:val="left"/>
              <w:rPr>
                <w:highlight w:val="none"/>
              </w:rPr>
            </w:pPr>
            <w:r>
              <w:rPr>
                <w:rFonts w:ascii="仿宋_GB2312" w:hAnsi="仿宋_GB2312" w:eastAsia="仿宋_GB2312" w:cs="仿宋_GB2312"/>
                <w:highlight w:val="none"/>
              </w:rPr>
              <w:t>对合同支付方式的补充说明：前三期次为中标人完成当季度的养护工作后，经采购人考评且财政资金批复到位后10日内，据实支付养护经费；服务期最后期次（第四期），项目服务完成并经采购人验收合格，待财政资金批复到位之日起10日内，采购人一次性支付相应款项。付款前，中标人须向采购人出具符合国家财税规定及采购人要求的合法有效发票，否则采购人有权顺延该笔款项支付时间，由此产生的相关责任由中标人承担。（本条款与招标文件其他条款约定不一致的，以本条款约定为准）</w:t>
            </w:r>
          </w:p>
        </w:tc>
      </w:tr>
      <w:tr w14:paraId="400FF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3" w:type="dxa"/>
          </w:tcPr>
          <w:p w14:paraId="495233FB">
            <w:pPr>
              <w:pStyle w:val="5"/>
              <w:jc w:val="left"/>
              <w:rPr>
                <w:highlight w:val="none"/>
              </w:rPr>
            </w:pPr>
            <w:r>
              <w:rPr>
                <w:rFonts w:ascii="仿宋_GB2312" w:hAnsi="仿宋_GB2312" w:eastAsia="仿宋_GB2312" w:cs="仿宋_GB2312"/>
                <w:highlight w:val="none"/>
              </w:rPr>
              <w:t>8</w:t>
            </w:r>
          </w:p>
        </w:tc>
        <w:tc>
          <w:tcPr>
            <w:tcW w:w="1163" w:type="dxa"/>
          </w:tcPr>
          <w:p w14:paraId="73CEF9BA">
            <w:pPr>
              <w:pStyle w:val="5"/>
              <w:jc w:val="left"/>
              <w:rPr>
                <w:highlight w:val="none"/>
              </w:rPr>
            </w:pPr>
            <w:r>
              <w:rPr>
                <w:rFonts w:ascii="仿宋_GB2312" w:hAnsi="仿宋_GB2312" w:eastAsia="仿宋_GB2312" w:cs="仿宋_GB2312"/>
                <w:highlight w:val="none"/>
              </w:rPr>
              <w:t>★</w:t>
            </w:r>
          </w:p>
        </w:tc>
        <w:tc>
          <w:tcPr>
            <w:tcW w:w="2112" w:type="dxa"/>
          </w:tcPr>
          <w:p w14:paraId="5CB58A23">
            <w:pPr>
              <w:pStyle w:val="5"/>
              <w:jc w:val="left"/>
              <w:rPr>
                <w:highlight w:val="none"/>
              </w:rPr>
            </w:pPr>
            <w:r>
              <w:rPr>
                <w:rFonts w:ascii="仿宋_GB2312" w:hAnsi="仿宋_GB2312" w:eastAsia="仿宋_GB2312" w:cs="仿宋_GB2312"/>
                <w:highlight w:val="none"/>
              </w:rPr>
              <w:t>履约保证金</w:t>
            </w:r>
          </w:p>
        </w:tc>
        <w:tc>
          <w:tcPr>
            <w:tcW w:w="4725" w:type="dxa"/>
          </w:tcPr>
          <w:p w14:paraId="00B62DEB">
            <w:pPr>
              <w:pStyle w:val="5"/>
              <w:jc w:val="left"/>
              <w:rPr>
                <w:highlight w:val="none"/>
              </w:rPr>
            </w:pPr>
            <w:r>
              <w:rPr>
                <w:rFonts w:ascii="仿宋_GB2312" w:hAnsi="仿宋_GB2312" w:eastAsia="仿宋_GB2312" w:cs="仿宋_GB2312"/>
                <w:highlight w:val="none"/>
              </w:rPr>
              <w:t>不缴纳</w:t>
            </w:r>
          </w:p>
          <w:p w14:paraId="1D8E3FBA">
            <w:pPr>
              <w:pStyle w:val="5"/>
              <w:jc w:val="left"/>
              <w:rPr>
                <w:highlight w:val="none"/>
              </w:rPr>
            </w:pPr>
            <w:r>
              <w:rPr>
                <w:rFonts w:ascii="仿宋_GB2312" w:hAnsi="仿宋_GB2312" w:eastAsia="仿宋_GB2312" w:cs="仿宋_GB2312"/>
                <w:highlight w:val="none"/>
              </w:rPr>
              <w:t>缴纳方式：</w:t>
            </w:r>
          </w:p>
        </w:tc>
      </w:tr>
    </w:tbl>
    <w:p w14:paraId="158D4D5A">
      <w:pPr>
        <w:pStyle w:val="5"/>
        <w:jc w:val="left"/>
        <w:rPr>
          <w:highlight w:val="none"/>
        </w:rPr>
      </w:pPr>
      <w:r>
        <w:rPr>
          <w:rFonts w:ascii="仿宋_GB2312" w:hAnsi="仿宋_GB2312" w:eastAsia="仿宋_GB2312" w:cs="仿宋_GB2312"/>
          <w:highlight w:val="none"/>
        </w:rPr>
        <w:t>其他商务要求</w:t>
      </w:r>
    </w:p>
    <w:p w14:paraId="15462472">
      <w:pPr>
        <w:pStyle w:val="5"/>
        <w:ind w:firstLine="480"/>
        <w:jc w:val="left"/>
        <w:rPr>
          <w:highlight w:val="none"/>
        </w:rPr>
      </w:pPr>
      <w:r>
        <w:rPr>
          <w:rFonts w:ascii="仿宋_GB2312" w:hAnsi="仿宋_GB2312" w:eastAsia="仿宋_GB2312" w:cs="仿宋_GB2312"/>
          <w:sz w:val="20"/>
          <w:highlight w:val="none"/>
        </w:rPr>
        <w:t>10、中标人应履行的其他义务：</w:t>
      </w:r>
    </w:p>
    <w:p w14:paraId="55DA8EDE">
      <w:pPr>
        <w:pStyle w:val="5"/>
        <w:ind w:firstLine="480"/>
        <w:jc w:val="both"/>
        <w:rPr>
          <w:highlight w:val="none"/>
        </w:rPr>
      </w:pPr>
      <w:r>
        <w:rPr>
          <w:rFonts w:ascii="仿宋_GB2312" w:hAnsi="仿宋_GB2312" w:eastAsia="仿宋_GB2312" w:cs="仿宋_GB2312"/>
          <w:sz w:val="20"/>
          <w:highlight w:val="none"/>
        </w:rPr>
        <w:t>（1）中标人应负责养护期间班组人员的安全，并负责处理可能干扰养护的各种社会因素。</w:t>
      </w:r>
    </w:p>
    <w:p w14:paraId="76219028">
      <w:pPr>
        <w:pStyle w:val="5"/>
        <w:ind w:firstLine="480"/>
        <w:jc w:val="both"/>
        <w:rPr>
          <w:highlight w:val="none"/>
        </w:rPr>
      </w:pPr>
      <w:r>
        <w:rPr>
          <w:rFonts w:ascii="仿宋_GB2312" w:hAnsi="仿宋_GB2312" w:eastAsia="仿宋_GB2312" w:cs="仿宋_GB2312"/>
          <w:sz w:val="20"/>
          <w:highlight w:val="none"/>
        </w:rPr>
        <w:t>（2）中标人应对本养护项目质量、安全、工期、经济等负全部责任，并接受各级质量、安全等有关管理部门的检查、监督，并承担相应费用。因违反规定受到有关部门处罚，由中标人承担。</w:t>
      </w:r>
    </w:p>
    <w:p w14:paraId="1822EEA6">
      <w:pPr>
        <w:pStyle w:val="5"/>
        <w:ind w:firstLine="480"/>
        <w:jc w:val="both"/>
        <w:rPr>
          <w:highlight w:val="none"/>
        </w:rPr>
      </w:pPr>
      <w:r>
        <w:rPr>
          <w:rFonts w:ascii="仿宋_GB2312" w:hAnsi="仿宋_GB2312" w:eastAsia="仿宋_GB2312" w:cs="仿宋_GB2312"/>
          <w:sz w:val="20"/>
          <w:highlight w:val="none"/>
        </w:rPr>
        <w:t>（3）在养护过程中，采购人或有关主管部门发现中标人的项目负责人、项目技术负责人有重大失误或不能胜任工作，有权要求中标人予以更换，中标人需在一周内更换相应人员，且按约定承担经济处罚。</w:t>
      </w:r>
    </w:p>
    <w:p w14:paraId="71F93D4A">
      <w:pPr>
        <w:pStyle w:val="5"/>
        <w:ind w:firstLine="480"/>
        <w:jc w:val="both"/>
        <w:rPr>
          <w:highlight w:val="none"/>
        </w:rPr>
      </w:pPr>
      <w:r>
        <w:rPr>
          <w:rFonts w:ascii="仿宋_GB2312" w:hAnsi="仿宋_GB2312" w:eastAsia="仿宋_GB2312" w:cs="仿宋_GB2312"/>
          <w:sz w:val="20"/>
          <w:highlight w:val="none"/>
        </w:rPr>
        <w:t>（4）如因中标人养护作业引发纠纷的，由中标人负责解决并承担由此产生的费用。</w:t>
      </w:r>
    </w:p>
    <w:p w14:paraId="7548EA44">
      <w:pPr>
        <w:pStyle w:val="5"/>
        <w:ind w:firstLine="480"/>
        <w:jc w:val="both"/>
        <w:rPr>
          <w:highlight w:val="none"/>
        </w:rPr>
      </w:pPr>
      <w:r>
        <w:rPr>
          <w:rFonts w:ascii="仿宋_GB2312" w:hAnsi="仿宋_GB2312" w:eastAsia="仿宋_GB2312" w:cs="仿宋_GB2312"/>
          <w:sz w:val="20"/>
          <w:highlight w:val="none"/>
        </w:rPr>
        <w:t>（5）采购人在中标人负责的养护区域内，新增的设施（含护栏、喷灌、铺砖等）均不影响中标人的养护的单价。</w:t>
      </w:r>
    </w:p>
    <w:p w14:paraId="16407424">
      <w:pPr>
        <w:pStyle w:val="5"/>
        <w:ind w:firstLine="402"/>
        <w:jc w:val="both"/>
        <w:rPr>
          <w:highlight w:val="none"/>
        </w:rPr>
      </w:pPr>
      <w:r>
        <w:rPr>
          <w:rFonts w:ascii="仿宋_GB2312" w:hAnsi="仿宋_GB2312" w:eastAsia="仿宋_GB2312" w:cs="仿宋_GB2312"/>
          <w:b/>
          <w:sz w:val="20"/>
          <w:highlight w:val="none"/>
        </w:rPr>
        <w:t>11、采购人有权增加或减少部分项目，若因政策原因需取消部分或全部项目，中标人必须无条件执行。</w:t>
      </w:r>
    </w:p>
    <w:p w14:paraId="77247096">
      <w:pPr>
        <w:pStyle w:val="5"/>
        <w:ind w:firstLine="400"/>
        <w:jc w:val="both"/>
        <w:rPr>
          <w:highlight w:val="none"/>
        </w:rPr>
      </w:pPr>
      <w:r>
        <w:rPr>
          <w:rFonts w:ascii="仿宋_GB2312" w:hAnsi="仿宋_GB2312" w:eastAsia="仿宋_GB2312" w:cs="仿宋_GB2312"/>
          <w:sz w:val="20"/>
          <w:highlight w:val="none"/>
        </w:rPr>
        <w:t>12、采购人如发书面通知催促中标人上报申请项目费用材料，若中标人超过三个月未提交的，采购人有权视为中标人放弃此项目的相关权益。</w:t>
      </w:r>
    </w:p>
    <w:p w14:paraId="33ED63D7">
      <w:pPr>
        <w:pStyle w:val="5"/>
        <w:ind w:firstLine="400"/>
        <w:jc w:val="left"/>
        <w:rPr>
          <w:rFonts w:ascii="仿宋_GB2312" w:hAnsi="仿宋_GB2312" w:eastAsia="仿宋_GB2312" w:cs="仿宋_GB2312"/>
          <w:b/>
          <w:sz w:val="20"/>
          <w:highlight w:val="none"/>
        </w:rPr>
      </w:pPr>
      <w:r>
        <w:rPr>
          <w:rFonts w:ascii="仿宋_GB2312" w:hAnsi="仿宋_GB2312" w:eastAsia="仿宋_GB2312" w:cs="仿宋_GB2312"/>
          <w:sz w:val="20"/>
          <w:highlight w:val="none"/>
        </w:rPr>
        <w:t>13、考核验收：</w:t>
      </w:r>
      <w:r>
        <w:rPr>
          <w:rFonts w:ascii="仿宋_GB2312" w:hAnsi="仿宋_GB2312" w:eastAsia="仿宋_GB2312" w:cs="仿宋_GB2312"/>
          <w:b/>
          <w:sz w:val="20"/>
          <w:highlight w:val="none"/>
        </w:rPr>
        <w:t>根据《福州市市管道路绿化社会化养护考核管理办法》进行考核验收，详见附件。</w:t>
      </w:r>
    </w:p>
    <w:p w14:paraId="5AFFD8FA">
      <w:pPr>
        <w:pStyle w:val="5"/>
        <w:ind w:firstLine="400"/>
        <w:jc w:val="left"/>
        <w:rPr>
          <w:rFonts w:ascii="仿宋_GB2312" w:hAnsi="仿宋_GB2312" w:eastAsia="仿宋_GB2312" w:cs="仿宋_GB2312"/>
          <w:b/>
          <w:sz w:val="20"/>
          <w:highlight w:val="none"/>
        </w:rPr>
      </w:pPr>
      <w:r>
        <w:rPr>
          <w:rFonts w:hint="eastAsia" w:ascii="仿宋_GB2312" w:hAnsi="仿宋_GB2312" w:eastAsia="仿宋_GB2312" w:cs="仿宋_GB2312"/>
          <w:b/>
          <w:sz w:val="20"/>
          <w:highlight w:val="none"/>
          <w:lang w:val="en-US" w:eastAsia="zh-CN"/>
        </w:rPr>
        <w:t>14、</w:t>
      </w:r>
      <w:r>
        <w:rPr>
          <w:rFonts w:hint="eastAsia" w:ascii="仿宋_GB2312" w:hAnsi="仿宋_GB2312" w:eastAsia="仿宋_GB2312" w:cs="仿宋_GB2312"/>
          <w:b/>
          <w:sz w:val="20"/>
          <w:highlight w:val="none"/>
        </w:rPr>
        <w:t>中标人不得转包、分包他人，若发现转包、分包，采购人有权终止合同，并追究相应法律责任”。</w:t>
      </w:r>
    </w:p>
    <w:p w14:paraId="1DBC7E61">
      <w:pPr>
        <w:pStyle w:val="5"/>
        <w:ind w:firstLine="400"/>
        <w:jc w:val="left"/>
        <w:outlineLvl w:val="2"/>
        <w:rPr>
          <w:highlight w:val="none"/>
        </w:rPr>
      </w:pPr>
      <w:r>
        <w:rPr>
          <w:rFonts w:ascii="仿宋_GB2312" w:hAnsi="仿宋_GB2312" w:eastAsia="仿宋_GB2312" w:cs="仿宋_GB2312"/>
          <w:b/>
          <w:sz w:val="28"/>
          <w:highlight w:val="none"/>
        </w:rPr>
        <w:t>四、其他事项</w:t>
      </w:r>
    </w:p>
    <w:p w14:paraId="1170B6BE">
      <w:pPr>
        <w:pStyle w:val="5"/>
        <w:ind w:firstLine="480"/>
        <w:jc w:val="both"/>
        <w:rPr>
          <w:highlight w:val="none"/>
        </w:rPr>
      </w:pPr>
      <w:r>
        <w:rPr>
          <w:rFonts w:ascii="仿宋_GB2312" w:hAnsi="仿宋_GB2312" w:eastAsia="仿宋_GB2312" w:cs="仿宋_GB2312"/>
          <w:highlight w:val="none"/>
        </w:rPr>
        <w:t>1、除招标文件另有规定外，若出现有关法律、法规和规章有强制性规定但招标文件未列明的情形，则投标人应按照有关法律、法规和规章强制性规定执行。</w:t>
      </w:r>
    </w:p>
    <w:p w14:paraId="3A17165C">
      <w:pPr>
        <w:pStyle w:val="5"/>
        <w:ind w:firstLine="480"/>
        <w:jc w:val="both"/>
        <w:rPr>
          <w:highlight w:val="none"/>
        </w:rPr>
      </w:pPr>
      <w:r>
        <w:rPr>
          <w:rFonts w:ascii="仿宋_GB2312" w:hAnsi="仿宋_GB2312" w:eastAsia="仿宋_GB2312" w:cs="仿宋_GB2312"/>
          <w:highlight w:val="none"/>
        </w:rPr>
        <w:t>2、其他：</w:t>
      </w:r>
    </w:p>
    <w:p w14:paraId="3FC5E6EB">
      <w:pPr>
        <w:pStyle w:val="5"/>
        <w:ind w:firstLine="480"/>
        <w:jc w:val="both"/>
        <w:rPr>
          <w:highlight w:val="none"/>
        </w:rPr>
      </w:pPr>
      <w:r>
        <w:rPr>
          <w:rFonts w:ascii="仿宋_GB2312" w:hAnsi="仿宋_GB2312" w:eastAsia="仿宋_GB2312" w:cs="仿宋_GB2312"/>
          <w:highlight w:val="none"/>
        </w:rPr>
        <w:t>无</w:t>
      </w:r>
    </w:p>
    <w:p w14:paraId="541F85EB">
      <w:pPr>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p>
    <w:sectPr>
      <w:pgSz w:w="11906" w:h="16838"/>
      <w:pgMar w:top="1247" w:right="1800" w:bottom="124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F7260"/>
    <w:rsid w:val="424E695C"/>
    <w:rsid w:val="778F7260"/>
    <w:rsid w:val="79E28F25"/>
    <w:rsid w:val="B2FD0016"/>
    <w:rsid w:val="EDFBE3CE"/>
    <w:rsid w:val="EFF913C5"/>
    <w:rsid w:val="F1FE8DFD"/>
    <w:rsid w:val="FFDF4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5115</Words>
  <Characters>5364</Characters>
  <Lines>0</Lines>
  <Paragraphs>0</Paragraphs>
  <TotalTime>4</TotalTime>
  <ScaleCrop>false</ScaleCrop>
  <LinksUpToDate>false</LinksUpToDate>
  <CharactersWithSpaces>5367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2026-06-25T19:23:00Z</dcterms:created>
  <dc:creator>uos</dc:creator>
  <cp:lastModifiedBy>范伟民</cp:lastModifiedBy>
  <cp:lastPrinted>2026-06-25T23:40:00Z</cp:lastPrinted>
  <dcterms:modified xsi:type="dcterms:W3CDTF">2026-07-01T09:31:18Z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eyJoZGlkIjoiMmJmMTFkYTY4MjM2ZDYwNjhlZWE0YWE0YTMxZDdkZWYiLCJ1c2VySWQiOiIxNjg5OTc4OTk0In0=</vt:lpwstr>
  </property>
  <property fmtid="{D5CDD505-2E9C-101B-9397-08002B2CF9AE}" pid="4" name="ICV">
    <vt:lpwstr>4F20A0510A664F6D80113BCB06FA45CC_12</vt:lpwstr>
  </property>
</Properties>
</file>