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outlineLvl w:val="1"/>
        <w:rPr>
          <w:rFonts w:hint="eastAsia" w:eastAsiaTheme="minorEastAsia"/>
          <w:highlight w:val="none"/>
          <w:lang w:eastAsia="zh-CN"/>
        </w:rPr>
      </w:pPr>
      <w:r>
        <w:rPr>
          <w:rFonts w:hint="eastAsia" w:ascii="仿宋_GB2312" w:hAnsi="仿宋_GB2312" w:eastAsia="仿宋_GB2312" w:cs="仿宋_GB2312"/>
          <w:b/>
          <w:sz w:val="36"/>
          <w:highlight w:val="none"/>
          <w:lang w:eastAsia="zh-CN"/>
        </w:rPr>
        <w:t>采购需求</w:t>
      </w:r>
    </w:p>
    <w:p>
      <w:pPr>
        <w:pStyle w:val="7"/>
        <w:jc w:val="both"/>
        <w:outlineLvl w:val="2"/>
        <w:rPr>
          <w:highlight w:val="none"/>
        </w:rPr>
      </w:pPr>
      <w:r>
        <w:rPr>
          <w:rFonts w:ascii="仿宋_GB2312" w:hAnsi="仿宋_GB2312" w:eastAsia="仿宋_GB2312" w:cs="仿宋_GB2312"/>
          <w:b/>
          <w:sz w:val="28"/>
          <w:highlight w:val="none"/>
        </w:rPr>
        <w:t>一、项目概况（采购标的）</w:t>
      </w:r>
    </w:p>
    <w:p>
      <w:pPr>
        <w:pStyle w:val="7"/>
        <w:ind w:firstLine="480"/>
        <w:jc w:val="both"/>
        <w:rPr>
          <w:rFonts w:hint="default"/>
          <w:sz w:val="20"/>
          <w:szCs w:val="20"/>
          <w:highlight w:val="none"/>
        </w:rPr>
      </w:pPr>
      <w:r>
        <w:rPr>
          <w:rFonts w:hint="eastAsia" w:ascii="仿宋_GB2312" w:hAnsi="仿宋_GB2312" w:eastAsia="仿宋_GB2312" w:cs="仿宋_GB2312"/>
          <w:sz w:val="20"/>
          <w:szCs w:val="20"/>
          <w:highlight w:val="none"/>
          <w:lang w:val="en-US" w:eastAsia="zh-CN"/>
        </w:rPr>
        <w:t>1、</w:t>
      </w:r>
      <w:r>
        <w:rPr>
          <w:rFonts w:ascii="仿宋_GB2312" w:hAnsi="仿宋_GB2312" w:eastAsia="仿宋_GB2312" w:cs="仿宋_GB2312"/>
          <w:b/>
          <w:sz w:val="20"/>
          <w:szCs w:val="20"/>
          <w:highlight w:val="none"/>
        </w:rPr>
        <w:t>本项目为2026-2027年新增三角梅专项养护</w:t>
      </w:r>
      <w:r>
        <w:rPr>
          <w:rFonts w:ascii="仿宋_GB2312" w:hAnsi="仿宋_GB2312" w:eastAsia="仿宋_GB2312" w:cs="仿宋_GB2312"/>
          <w:sz w:val="20"/>
          <w:szCs w:val="20"/>
          <w:highlight w:val="none"/>
        </w:rPr>
        <w:t>,主要负责福州市区位于桥梁、地下通道口及其他地点以种植槽种植箱种植盆形式种植的三角梅日常养护，目的是为了提高福州市内立体绿化景观水平。本项目所描述的三角梅（别名：九重葛、勒杜鹃等），因各地区对三角梅的别称不同，若投标人在投标文件中所提供相关证明材料中所指的三角梅为其他名称的，须提供</w:t>
      </w:r>
      <w:r>
        <w:rPr>
          <w:rFonts w:ascii="仿宋_GB2312" w:hAnsi="仿宋_GB2312" w:eastAsia="仿宋_GB2312" w:cs="仿宋_GB2312"/>
          <w:b/>
          <w:sz w:val="20"/>
          <w:szCs w:val="20"/>
          <w:highlight w:val="none"/>
        </w:rPr>
        <w:t>说明函</w:t>
      </w:r>
      <w:r>
        <w:rPr>
          <w:rFonts w:ascii="仿宋_GB2312" w:hAnsi="仿宋_GB2312" w:eastAsia="仿宋_GB2312" w:cs="仿宋_GB2312"/>
          <w:sz w:val="20"/>
          <w:szCs w:val="20"/>
          <w:highlight w:val="none"/>
        </w:rPr>
        <w:t>。</w:t>
      </w:r>
    </w:p>
    <w:p>
      <w:pPr>
        <w:pStyle w:val="7"/>
        <w:jc w:val="both"/>
        <w:outlineLvl w:val="2"/>
        <w:rPr>
          <w:highlight w:val="none"/>
        </w:rPr>
      </w:pPr>
      <w:r>
        <w:rPr>
          <w:rFonts w:ascii="仿宋_GB2312" w:hAnsi="仿宋_GB2312" w:eastAsia="仿宋_GB2312" w:cs="仿宋_GB2312"/>
          <w:b/>
          <w:sz w:val="28"/>
          <w:highlight w:val="none"/>
        </w:rPr>
        <w:t>二、技术和服务要求（以“★”标示的内容为不允许负偏离的实质性要求）</w:t>
      </w:r>
    </w:p>
    <w:p>
      <w:pPr>
        <w:pStyle w:val="7"/>
        <w:ind w:firstLine="402" w:firstLineChars="200"/>
        <w:rPr>
          <w:rFonts w:hint="default"/>
          <w:sz w:val="20"/>
          <w:szCs w:val="20"/>
          <w:highlight w:val="none"/>
        </w:rPr>
      </w:pPr>
      <w:r>
        <w:rPr>
          <w:rFonts w:ascii="仿宋_GB2312" w:hAnsi="仿宋_GB2312" w:eastAsia="仿宋_GB2312" w:cs="仿宋_GB2312"/>
          <w:b/>
          <w:sz w:val="20"/>
          <w:szCs w:val="20"/>
          <w:highlight w:val="none"/>
        </w:rPr>
        <w:t>★1、养护作业总体要求</w:t>
      </w:r>
    </w:p>
    <w:p>
      <w:pPr>
        <w:pStyle w:val="7"/>
        <w:spacing w:after="150"/>
        <w:ind w:firstLine="400"/>
        <w:rPr>
          <w:rFonts w:hint="default"/>
          <w:sz w:val="20"/>
          <w:szCs w:val="20"/>
          <w:highlight w:val="none"/>
        </w:rPr>
      </w:pPr>
      <w:r>
        <w:rPr>
          <w:rFonts w:ascii="仿宋_GB2312" w:hAnsi="仿宋_GB2312" w:eastAsia="仿宋_GB2312" w:cs="仿宋_GB2312"/>
          <w:sz w:val="20"/>
          <w:szCs w:val="20"/>
          <w:highlight w:val="none"/>
        </w:rPr>
        <w:t>1.1中标人必须遵守国家相关法规，接受采购人</w:t>
      </w:r>
      <w:r>
        <w:rPr>
          <w:rFonts w:hint="eastAsia" w:ascii="仿宋_GB2312" w:hAnsi="仿宋_GB2312" w:eastAsia="仿宋_GB2312" w:cs="仿宋_GB2312"/>
          <w:sz w:val="20"/>
          <w:szCs w:val="20"/>
          <w:highlight w:val="none"/>
          <w:lang w:eastAsia="zh-CN"/>
        </w:rPr>
        <w:t>养护</w:t>
      </w:r>
      <w:r>
        <w:rPr>
          <w:rFonts w:ascii="仿宋_GB2312" w:hAnsi="仿宋_GB2312" w:eastAsia="仿宋_GB2312" w:cs="仿宋_GB2312"/>
          <w:sz w:val="20"/>
          <w:szCs w:val="20"/>
          <w:highlight w:val="none"/>
        </w:rPr>
        <w:t>作业质量检查和扣款标准。</w:t>
      </w:r>
    </w:p>
    <w:p>
      <w:pPr>
        <w:pStyle w:val="7"/>
        <w:spacing w:after="150"/>
        <w:ind w:firstLine="402" w:firstLineChars="200"/>
        <w:rPr>
          <w:rFonts w:ascii="仿宋_GB2312" w:hAnsi="仿宋_GB2312" w:eastAsia="仿宋_GB2312" w:cs="仿宋_GB2312"/>
          <w:b/>
          <w:sz w:val="20"/>
          <w:szCs w:val="20"/>
          <w:highlight w:val="none"/>
        </w:rPr>
      </w:pPr>
      <w:r>
        <w:rPr>
          <w:rFonts w:ascii="仿宋_GB2312" w:hAnsi="仿宋_GB2312" w:eastAsia="仿宋_GB2312" w:cs="仿宋_GB2312"/>
          <w:b/>
          <w:sz w:val="20"/>
          <w:szCs w:val="20"/>
          <w:highlight w:val="none"/>
        </w:rPr>
        <w:t>1.2</w:t>
      </w:r>
      <w:r>
        <w:rPr>
          <w:rFonts w:hint="eastAsia" w:ascii="仿宋_GB2312" w:hAnsi="仿宋_GB2312" w:eastAsia="仿宋_GB2312" w:cs="仿宋_GB2312"/>
          <w:b/>
          <w:sz w:val="20"/>
          <w:szCs w:val="20"/>
          <w:highlight w:val="none"/>
          <w:lang w:eastAsia="zh-CN"/>
        </w:rPr>
        <w:t>人员车辆</w:t>
      </w:r>
      <w:r>
        <w:rPr>
          <w:rFonts w:ascii="仿宋_GB2312" w:hAnsi="仿宋_GB2312" w:eastAsia="仿宋_GB2312" w:cs="仿宋_GB2312"/>
          <w:b/>
          <w:sz w:val="20"/>
          <w:szCs w:val="20"/>
          <w:highlight w:val="none"/>
        </w:rPr>
        <w:t>基本配置</w:t>
      </w:r>
    </w:p>
    <w:p>
      <w:pPr>
        <w:pStyle w:val="7"/>
        <w:ind w:firstLine="400" w:firstLineChars="200"/>
        <w:rPr>
          <w:rFonts w:hint="eastAsia" w:ascii="仿宋_GB2312" w:hAnsi="仿宋_GB2312" w:eastAsia="仿宋_GB2312" w:cs="仿宋_GB2312"/>
          <w:color w:val="auto"/>
          <w:sz w:val="20"/>
          <w:szCs w:val="20"/>
          <w:highlight w:val="none"/>
          <w:lang w:eastAsia="zh-CN"/>
        </w:rPr>
      </w:pPr>
      <w:r>
        <w:rPr>
          <w:rFonts w:hint="default" w:ascii="仿宋_GB2312" w:hAnsi="仿宋_GB2312" w:eastAsia="仿宋_GB2312" w:cs="仿宋_GB2312"/>
          <w:color w:val="auto"/>
          <w:sz w:val="20"/>
          <w:szCs w:val="20"/>
          <w:highlight w:val="none"/>
        </w:rPr>
        <w:t>①养护人员：按实际接收延长米动态配置养护人员，每2000延长米配置1名。</w:t>
      </w:r>
      <w:r>
        <w:rPr>
          <w:rFonts w:hint="eastAsia" w:ascii="仿宋_GB2312" w:hAnsi="仿宋_GB2312" w:eastAsia="仿宋_GB2312" w:cs="仿宋_GB2312"/>
          <w:color w:val="auto"/>
          <w:sz w:val="20"/>
          <w:szCs w:val="20"/>
          <w:highlight w:val="none"/>
          <w:lang w:eastAsia="zh-CN"/>
        </w:rPr>
        <w:t>具体如下表：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1880"/>
        <w:gridCol w:w="2013"/>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879" w:type="dxa"/>
            <w:vAlign w:val="center"/>
          </w:tcPr>
          <w:p>
            <w:pPr>
              <w:pStyle w:val="7"/>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1-2000</w:t>
            </w:r>
            <w:r>
              <w:rPr>
                <w:rFonts w:hint="default" w:ascii="仿宋_GB2312" w:hAnsi="仿宋_GB2312" w:eastAsia="仿宋_GB2312" w:cs="仿宋_GB2312"/>
                <w:color w:val="auto"/>
                <w:sz w:val="20"/>
                <w:szCs w:val="20"/>
                <w:highlight w:val="none"/>
              </w:rPr>
              <w:t>延长米</w:t>
            </w:r>
          </w:p>
        </w:tc>
        <w:tc>
          <w:tcPr>
            <w:tcW w:w="1880" w:type="dxa"/>
            <w:vAlign w:val="center"/>
          </w:tcPr>
          <w:p>
            <w:pPr>
              <w:pStyle w:val="7"/>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2001-4000</w:t>
            </w:r>
            <w:r>
              <w:rPr>
                <w:rFonts w:hint="default" w:ascii="仿宋_GB2312" w:hAnsi="仿宋_GB2312" w:eastAsia="仿宋_GB2312" w:cs="仿宋_GB2312"/>
                <w:color w:val="auto"/>
                <w:sz w:val="20"/>
                <w:szCs w:val="20"/>
                <w:highlight w:val="none"/>
              </w:rPr>
              <w:t>延长米</w:t>
            </w:r>
          </w:p>
        </w:tc>
        <w:tc>
          <w:tcPr>
            <w:tcW w:w="2013" w:type="dxa"/>
            <w:vAlign w:val="center"/>
          </w:tcPr>
          <w:p>
            <w:pPr>
              <w:pStyle w:val="7"/>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4001-6000</w:t>
            </w:r>
            <w:r>
              <w:rPr>
                <w:rFonts w:hint="default" w:ascii="仿宋_GB2312" w:hAnsi="仿宋_GB2312" w:eastAsia="仿宋_GB2312" w:cs="仿宋_GB2312"/>
                <w:color w:val="auto"/>
                <w:sz w:val="20"/>
                <w:szCs w:val="20"/>
                <w:highlight w:val="none"/>
              </w:rPr>
              <w:t>延长米</w:t>
            </w:r>
          </w:p>
        </w:tc>
        <w:tc>
          <w:tcPr>
            <w:tcW w:w="1747" w:type="dxa"/>
            <w:vAlign w:val="center"/>
          </w:tcPr>
          <w:p>
            <w:pPr>
              <w:pStyle w:val="7"/>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879" w:type="dxa"/>
            <w:vAlign w:val="center"/>
          </w:tcPr>
          <w:p>
            <w:pPr>
              <w:pStyle w:val="7"/>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1人</w:t>
            </w:r>
          </w:p>
        </w:tc>
        <w:tc>
          <w:tcPr>
            <w:tcW w:w="1880" w:type="dxa"/>
            <w:vAlign w:val="center"/>
          </w:tcPr>
          <w:p>
            <w:pPr>
              <w:pStyle w:val="7"/>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2人</w:t>
            </w:r>
          </w:p>
        </w:tc>
        <w:tc>
          <w:tcPr>
            <w:tcW w:w="2013" w:type="dxa"/>
            <w:vAlign w:val="center"/>
          </w:tcPr>
          <w:p>
            <w:pPr>
              <w:pStyle w:val="7"/>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3人</w:t>
            </w:r>
          </w:p>
        </w:tc>
        <w:tc>
          <w:tcPr>
            <w:tcW w:w="1747" w:type="dxa"/>
            <w:vAlign w:val="center"/>
          </w:tcPr>
          <w:p>
            <w:pPr>
              <w:pStyle w:val="7"/>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以此类推</w:t>
            </w:r>
          </w:p>
        </w:tc>
      </w:tr>
    </w:tbl>
    <w:p>
      <w:pPr>
        <w:pStyle w:val="7"/>
        <w:ind w:firstLine="400" w:firstLineChars="200"/>
        <w:rPr>
          <w:rFonts w:hint="default" w:ascii="仿宋_GB2312" w:hAnsi="仿宋_GB2312" w:eastAsia="仿宋_GB2312" w:cs="仿宋_GB2312"/>
          <w:color w:val="auto"/>
          <w:sz w:val="20"/>
          <w:szCs w:val="20"/>
          <w:highlight w:val="none"/>
        </w:rPr>
      </w:pPr>
    </w:p>
    <w:p>
      <w:pPr>
        <w:pStyle w:val="7"/>
        <w:ind w:firstLine="400" w:firstLineChars="200"/>
        <w:rPr>
          <w:rFonts w:hint="default"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rPr>
        <w:t>②中/重型载货专项作业车（洒水车，核定载质量≥8吨）：1辆。按实际接收延长米动态配置洒水车，每2万米配置1辆洒水车（核定载质量≥8吨），若超过2万米，超出部分按采购人通知另行配置。</w:t>
      </w:r>
      <w:r>
        <w:rPr>
          <w:rFonts w:hint="eastAsia" w:ascii="仿宋_GB2312" w:hAnsi="仿宋_GB2312" w:eastAsia="仿宋_GB2312" w:cs="仿宋_GB2312"/>
          <w:color w:val="auto"/>
          <w:sz w:val="20"/>
          <w:szCs w:val="20"/>
          <w:highlight w:val="none"/>
          <w:lang w:eastAsia="zh-CN"/>
        </w:rPr>
        <w:t>具体如下表：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1960"/>
        <w:gridCol w:w="1960"/>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59" w:type="dxa"/>
            <w:vAlign w:val="center"/>
          </w:tcPr>
          <w:p>
            <w:pPr>
              <w:pStyle w:val="7"/>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1-20000</w:t>
            </w:r>
            <w:r>
              <w:rPr>
                <w:rFonts w:hint="default" w:ascii="仿宋_GB2312" w:hAnsi="仿宋_GB2312" w:eastAsia="仿宋_GB2312" w:cs="仿宋_GB2312"/>
                <w:color w:val="auto"/>
                <w:sz w:val="20"/>
                <w:szCs w:val="20"/>
                <w:highlight w:val="none"/>
              </w:rPr>
              <w:t>延长米</w:t>
            </w:r>
          </w:p>
        </w:tc>
        <w:tc>
          <w:tcPr>
            <w:tcW w:w="1960" w:type="dxa"/>
            <w:vAlign w:val="center"/>
          </w:tcPr>
          <w:p>
            <w:pPr>
              <w:pStyle w:val="7"/>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20001-30000</w:t>
            </w:r>
            <w:r>
              <w:rPr>
                <w:rFonts w:hint="default" w:ascii="仿宋_GB2312" w:hAnsi="仿宋_GB2312" w:eastAsia="仿宋_GB2312" w:cs="仿宋_GB2312"/>
                <w:color w:val="auto"/>
                <w:sz w:val="20"/>
                <w:szCs w:val="20"/>
                <w:highlight w:val="none"/>
              </w:rPr>
              <w:t>延长米</w:t>
            </w:r>
          </w:p>
        </w:tc>
        <w:tc>
          <w:tcPr>
            <w:tcW w:w="1960" w:type="dxa"/>
            <w:vAlign w:val="center"/>
          </w:tcPr>
          <w:p>
            <w:pPr>
              <w:pStyle w:val="7"/>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30001-40000</w:t>
            </w:r>
            <w:r>
              <w:rPr>
                <w:rFonts w:hint="default" w:ascii="仿宋_GB2312" w:hAnsi="仿宋_GB2312" w:eastAsia="仿宋_GB2312" w:cs="仿宋_GB2312"/>
                <w:color w:val="auto"/>
                <w:sz w:val="20"/>
                <w:szCs w:val="20"/>
                <w:highlight w:val="none"/>
              </w:rPr>
              <w:t>延长米</w:t>
            </w:r>
          </w:p>
        </w:tc>
        <w:tc>
          <w:tcPr>
            <w:tcW w:w="1960" w:type="dxa"/>
            <w:vAlign w:val="center"/>
          </w:tcPr>
          <w:p>
            <w:pPr>
              <w:pStyle w:val="7"/>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959" w:type="dxa"/>
            <w:vAlign w:val="center"/>
          </w:tcPr>
          <w:p>
            <w:pPr>
              <w:pStyle w:val="7"/>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1辆</w:t>
            </w:r>
          </w:p>
        </w:tc>
        <w:tc>
          <w:tcPr>
            <w:tcW w:w="1960" w:type="dxa"/>
            <w:vAlign w:val="center"/>
          </w:tcPr>
          <w:p>
            <w:pPr>
              <w:pStyle w:val="7"/>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2辆</w:t>
            </w:r>
          </w:p>
        </w:tc>
        <w:tc>
          <w:tcPr>
            <w:tcW w:w="1960" w:type="dxa"/>
            <w:vAlign w:val="center"/>
          </w:tcPr>
          <w:p>
            <w:pPr>
              <w:pStyle w:val="7"/>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3辆</w:t>
            </w:r>
          </w:p>
        </w:tc>
        <w:tc>
          <w:tcPr>
            <w:tcW w:w="1960" w:type="dxa"/>
            <w:vAlign w:val="center"/>
          </w:tcPr>
          <w:p>
            <w:pPr>
              <w:pStyle w:val="7"/>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以此类推</w:t>
            </w:r>
          </w:p>
        </w:tc>
      </w:tr>
    </w:tbl>
    <w:p>
      <w:pPr>
        <w:pStyle w:val="7"/>
        <w:ind w:firstLine="400" w:firstLineChars="200"/>
        <w:rPr>
          <w:rFonts w:hint="default" w:ascii="仿宋_GB2312" w:hAnsi="仿宋_GB2312" w:eastAsia="仿宋_GB2312" w:cs="仿宋_GB2312"/>
          <w:color w:val="auto"/>
          <w:sz w:val="20"/>
          <w:szCs w:val="20"/>
          <w:highlight w:val="none"/>
        </w:rPr>
      </w:pPr>
    </w:p>
    <w:p>
      <w:pPr>
        <w:pStyle w:val="7"/>
        <w:ind w:firstLine="400" w:firstLineChars="200"/>
        <w:rPr>
          <w:rFonts w:ascii="仿宋_GB2312" w:hAnsi="仿宋_GB2312" w:eastAsia="仿宋_GB2312" w:cs="仿宋_GB2312"/>
          <w:strike w:val="0"/>
          <w:color w:val="auto"/>
          <w:sz w:val="20"/>
          <w:szCs w:val="20"/>
          <w:highlight w:val="none"/>
          <w:lang w:eastAsia="zh-CN"/>
        </w:rPr>
      </w:pPr>
      <w:r>
        <w:rPr>
          <w:rFonts w:hint="default" w:ascii="Calibri" w:hAnsi="Calibri" w:eastAsia="仿宋_GB2312" w:cs="Calibri"/>
          <w:strike w:val="0"/>
          <w:color w:val="auto"/>
          <w:sz w:val="20"/>
          <w:szCs w:val="20"/>
          <w:highlight w:val="none"/>
        </w:rPr>
        <w:t>③</w:t>
      </w:r>
      <w:r>
        <w:rPr>
          <w:rFonts w:ascii="仿宋_GB2312" w:hAnsi="仿宋_GB2312" w:eastAsia="仿宋_GB2312" w:cs="仿宋_GB2312"/>
          <w:strike w:val="0"/>
          <w:color w:val="auto"/>
          <w:sz w:val="20"/>
          <w:szCs w:val="20"/>
          <w:highlight w:val="none"/>
          <w:lang w:eastAsia="zh-CN"/>
        </w:rPr>
        <w:t>轻型非载货专项作业车（防撞车）:1辆。</w:t>
      </w:r>
    </w:p>
    <w:p>
      <w:pPr>
        <w:pStyle w:val="7"/>
        <w:ind w:firstLine="400" w:firstLineChars="200"/>
        <w:rPr>
          <w:rFonts w:ascii="仿宋_GB2312" w:hAnsi="仿宋_GB2312" w:eastAsia="仿宋_GB2312" w:cs="仿宋_GB2312"/>
          <w:strike w:val="0"/>
          <w:color w:val="auto"/>
          <w:sz w:val="20"/>
          <w:szCs w:val="20"/>
          <w:highlight w:val="none"/>
          <w:lang w:eastAsia="zh-CN"/>
        </w:rPr>
      </w:pPr>
      <w:r>
        <w:rPr>
          <w:rFonts w:ascii="仿宋_GB2312" w:hAnsi="仿宋_GB2312" w:eastAsia="仿宋_GB2312" w:cs="仿宋_GB2312"/>
          <w:strike w:val="0"/>
          <w:color w:val="auto"/>
          <w:sz w:val="20"/>
          <w:szCs w:val="20"/>
          <w:highlight w:val="none"/>
        </w:rPr>
        <w:t>④</w:t>
      </w:r>
      <w:r>
        <w:rPr>
          <w:rFonts w:ascii="仿宋_GB2312" w:hAnsi="仿宋_GB2312" w:eastAsia="仿宋_GB2312" w:cs="仿宋_GB2312"/>
          <w:strike w:val="0"/>
          <w:color w:val="auto"/>
          <w:sz w:val="20"/>
          <w:szCs w:val="20"/>
          <w:highlight w:val="none"/>
          <w:lang w:eastAsia="zh-CN"/>
        </w:rPr>
        <w:t>轻型普通货车（皮卡车）：1辆。</w:t>
      </w:r>
    </w:p>
    <w:p>
      <w:pPr>
        <w:pStyle w:val="7"/>
        <w:ind w:firstLine="400" w:firstLineChars="200"/>
        <w:rPr>
          <w:rFonts w:hint="default"/>
          <w:sz w:val="20"/>
          <w:szCs w:val="20"/>
          <w:highlight w:val="none"/>
        </w:rPr>
      </w:pPr>
      <w:r>
        <w:rPr>
          <w:rFonts w:ascii="仿宋_GB2312" w:hAnsi="仿宋_GB2312" w:eastAsia="仿宋_GB2312" w:cs="仿宋_GB2312"/>
          <w:strike w:val="0"/>
          <w:color w:val="auto"/>
          <w:sz w:val="20"/>
          <w:szCs w:val="20"/>
          <w:highlight w:val="none"/>
        </w:rPr>
        <w:t>⑤</w:t>
      </w:r>
      <w:r>
        <w:rPr>
          <w:rFonts w:ascii="仿宋_GB2312" w:hAnsi="仿宋_GB2312" w:eastAsia="仿宋_GB2312" w:cs="仿宋_GB2312"/>
          <w:color w:val="auto"/>
          <w:sz w:val="20"/>
          <w:szCs w:val="20"/>
          <w:highlight w:val="none"/>
        </w:rPr>
        <w:t>中标人用于本项目的（</w:t>
      </w:r>
      <w:r>
        <w:rPr>
          <w:rFonts w:hint="default" w:ascii="Calibri" w:hAnsi="Calibri" w:eastAsia="仿宋_GB2312" w:cs="Calibri"/>
          <w:strike w:val="0"/>
          <w:color w:val="auto"/>
          <w:sz w:val="20"/>
          <w:szCs w:val="20"/>
          <w:highlight w:val="none"/>
        </w:rPr>
        <w:t>②</w:t>
      </w:r>
      <w:r>
        <w:rPr>
          <w:rFonts w:ascii="仿宋_GB2312" w:hAnsi="仿宋_GB2312" w:eastAsia="仿宋_GB2312" w:cs="仿宋_GB2312"/>
          <w:strike w:val="0"/>
          <w:color w:val="auto"/>
          <w:sz w:val="20"/>
          <w:szCs w:val="20"/>
          <w:highlight w:val="none"/>
          <w:lang w:eastAsia="zh-CN"/>
        </w:rPr>
        <w:t>、</w:t>
      </w:r>
      <w:r>
        <w:rPr>
          <w:rFonts w:hint="default" w:ascii="Calibri" w:hAnsi="Calibri" w:eastAsia="仿宋_GB2312" w:cs="Calibri"/>
          <w:strike w:val="0"/>
          <w:color w:val="auto"/>
          <w:sz w:val="20"/>
          <w:szCs w:val="20"/>
          <w:highlight w:val="none"/>
        </w:rPr>
        <w:t>③</w:t>
      </w:r>
      <w:r>
        <w:rPr>
          <w:rFonts w:ascii="仿宋_GB2312" w:hAnsi="仿宋_GB2312" w:eastAsia="仿宋_GB2312" w:cs="仿宋_GB2312"/>
          <w:strike w:val="0"/>
          <w:color w:val="auto"/>
          <w:sz w:val="20"/>
          <w:szCs w:val="20"/>
          <w:highlight w:val="none"/>
          <w:lang w:eastAsia="zh-CN"/>
        </w:rPr>
        <w:t>、</w:t>
      </w:r>
      <w:r>
        <w:rPr>
          <w:rFonts w:ascii="仿宋_GB2312" w:hAnsi="仿宋_GB2312" w:eastAsia="仿宋_GB2312" w:cs="仿宋_GB2312"/>
          <w:strike w:val="0"/>
          <w:color w:val="auto"/>
          <w:sz w:val="20"/>
          <w:szCs w:val="20"/>
          <w:highlight w:val="none"/>
        </w:rPr>
        <w:t>④</w:t>
      </w:r>
      <w:r>
        <w:rPr>
          <w:rFonts w:ascii="仿宋_GB2312" w:hAnsi="仿宋_GB2312" w:eastAsia="仿宋_GB2312" w:cs="仿宋_GB2312"/>
          <w:color w:val="auto"/>
          <w:sz w:val="20"/>
          <w:szCs w:val="20"/>
          <w:highlight w:val="none"/>
        </w:rPr>
        <w:t>点）基本配置车辆须符合国家和福州市相关规定，可为自有或租赁车辆，但与采购</w:t>
      </w:r>
      <w:r>
        <w:rPr>
          <w:rFonts w:hint="eastAsia" w:ascii="仿宋_GB2312" w:hAnsi="仿宋_GB2312" w:eastAsia="仿宋_GB2312" w:cs="仿宋_GB2312"/>
          <w:color w:val="auto"/>
          <w:sz w:val="20"/>
          <w:szCs w:val="20"/>
          <w:highlight w:val="none"/>
          <w:lang w:eastAsia="zh-CN"/>
        </w:rPr>
        <w:t>人</w:t>
      </w:r>
      <w:r>
        <w:rPr>
          <w:rFonts w:ascii="仿宋_GB2312" w:hAnsi="仿宋_GB2312" w:eastAsia="仿宋_GB2312" w:cs="仿宋_GB2312"/>
          <w:color w:val="auto"/>
          <w:sz w:val="20"/>
          <w:szCs w:val="20"/>
          <w:highlight w:val="none"/>
        </w:rPr>
        <w:t>其他项目不共享车辆。服务期内要保证车辆均能正常使用，车辆若在合同期内发生变更、转让、报废等情况的，必须征得采购人同意并在采购人规</w:t>
      </w:r>
      <w:r>
        <w:rPr>
          <w:rFonts w:ascii="仿宋_GB2312" w:hAnsi="仿宋_GB2312" w:eastAsia="仿宋_GB2312" w:cs="仿宋_GB2312"/>
          <w:sz w:val="20"/>
          <w:szCs w:val="20"/>
          <w:highlight w:val="none"/>
        </w:rPr>
        <w:t>定时间内配备补齐。中标人按照采购人要求提供巡查车辆，所产生的费用由中标人承担。</w:t>
      </w:r>
    </w:p>
    <w:p>
      <w:pPr>
        <w:pStyle w:val="7"/>
        <w:ind w:firstLine="400" w:firstLineChars="200"/>
        <w:rPr>
          <w:rFonts w:ascii="仿宋_GB2312" w:hAnsi="仿宋_GB2312" w:eastAsia="仿宋_GB2312" w:cs="仿宋_GB2312"/>
          <w:sz w:val="20"/>
          <w:szCs w:val="20"/>
          <w:highlight w:val="none"/>
        </w:rPr>
      </w:pPr>
      <w:r>
        <w:rPr>
          <w:rFonts w:hint="eastAsia" w:ascii="仿宋_GB2312" w:hAnsi="仿宋_GB2312" w:eastAsia="仿宋_GB2312" w:cs="仿宋_GB2312"/>
          <w:strike w:val="0"/>
          <w:sz w:val="20"/>
          <w:szCs w:val="20"/>
          <w:highlight w:val="none"/>
          <w:lang w:eastAsia="zh-CN"/>
        </w:rPr>
        <w:t>⑦</w:t>
      </w:r>
      <w:r>
        <w:rPr>
          <w:rFonts w:ascii="仿宋_GB2312" w:hAnsi="仿宋_GB2312" w:eastAsia="仿宋_GB2312" w:cs="仿宋_GB2312"/>
          <w:strike w:val="0"/>
          <w:dstrike w:val="0"/>
          <w:sz w:val="20"/>
          <w:szCs w:val="20"/>
          <w:highlight w:val="none"/>
        </w:rPr>
        <w:t>采购人有权根据实际接收</w:t>
      </w:r>
      <w:r>
        <w:rPr>
          <w:rFonts w:hint="eastAsia" w:ascii="仿宋_GB2312" w:hAnsi="仿宋_GB2312" w:eastAsia="仿宋_GB2312" w:cs="仿宋_GB2312"/>
          <w:strike w:val="0"/>
          <w:dstrike w:val="0"/>
          <w:sz w:val="20"/>
          <w:szCs w:val="20"/>
          <w:highlight w:val="none"/>
          <w:lang w:eastAsia="zh-CN"/>
        </w:rPr>
        <w:t>养护</w:t>
      </w:r>
      <w:r>
        <w:rPr>
          <w:rFonts w:ascii="仿宋_GB2312" w:hAnsi="仿宋_GB2312" w:eastAsia="仿宋_GB2312" w:cs="仿宋_GB2312"/>
          <w:strike w:val="0"/>
          <w:dstrike w:val="0"/>
          <w:sz w:val="20"/>
          <w:szCs w:val="20"/>
          <w:highlight w:val="none"/>
        </w:rPr>
        <w:t>情况进行核增减。每月（含）15日前核增减的量以当月1日起计算养护费用，15日后核增减的量次月1日起计算养护费用）。</w:t>
      </w:r>
    </w:p>
    <w:p>
      <w:pPr>
        <w:pStyle w:val="7"/>
        <w:ind w:firstLine="400" w:firstLineChars="200"/>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0"/>
          <w:szCs w:val="20"/>
          <w:highlight w:val="none"/>
        </w:rPr>
        <w:t>1.3养护人员配备要求:</w:t>
      </w:r>
    </w:p>
    <w:p>
      <w:pPr>
        <w:pStyle w:val="7"/>
        <w:ind w:firstLine="400" w:firstLineChars="200"/>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0"/>
          <w:szCs w:val="20"/>
          <w:highlight w:val="none"/>
        </w:rPr>
        <w:t>(1)项目负责人配备1名，技术负责人配备1名。</w:t>
      </w:r>
    </w:p>
    <w:p>
      <w:pPr>
        <w:pStyle w:val="7"/>
        <w:ind w:firstLine="400" w:firstLineChars="200"/>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0"/>
          <w:szCs w:val="20"/>
          <w:highlight w:val="none"/>
        </w:rPr>
        <w:t>(2)本项目其他所需的养护人员配备要求由中标人根据本项目养护需求自行配置。</w:t>
      </w:r>
    </w:p>
    <w:p>
      <w:pPr>
        <w:pStyle w:val="7"/>
        <w:ind w:firstLine="400" w:firstLineChars="200"/>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ascii="仿宋_GB2312" w:hAnsi="仿宋_GB2312" w:eastAsia="仿宋_GB2312" w:cs="仿宋_GB2312"/>
          <w:color w:val="auto"/>
          <w:sz w:val="20"/>
          <w:szCs w:val="20"/>
          <w:highlight w:val="none"/>
        </w:rPr>
        <w:t>)项目负责人、项目技术负责人不得与采购单位作为业主的其他项目重叠。</w:t>
      </w:r>
    </w:p>
    <w:p>
      <w:pPr>
        <w:pStyle w:val="7"/>
        <w:ind w:firstLine="400" w:firstLineChars="200"/>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ascii="仿宋_GB2312" w:hAnsi="仿宋_GB2312" w:eastAsia="仿宋_GB2312" w:cs="仿宋_GB2312"/>
          <w:color w:val="auto"/>
          <w:sz w:val="20"/>
          <w:szCs w:val="20"/>
          <w:highlight w:val="none"/>
        </w:rPr>
        <w:t>)中标人须负责承包范围内的安全作业管理，严格按有关部门的要求，制定有关规章制度。</w:t>
      </w:r>
    </w:p>
    <w:p>
      <w:pPr>
        <w:pStyle w:val="7"/>
        <w:ind w:firstLine="400" w:firstLineChars="200"/>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0"/>
          <w:szCs w:val="20"/>
          <w:highlight w:val="none"/>
        </w:rPr>
        <w:t>★2、养护作业时间要求</w:t>
      </w:r>
    </w:p>
    <w:p>
      <w:pPr>
        <w:pStyle w:val="7"/>
        <w:ind w:firstLine="400" w:firstLineChars="200"/>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0"/>
          <w:szCs w:val="20"/>
          <w:highlight w:val="none"/>
        </w:rPr>
        <w:t>2.1各投标人根据制定作业排班要求安排每日养护时间。</w:t>
      </w:r>
    </w:p>
    <w:p>
      <w:pPr>
        <w:pStyle w:val="7"/>
        <w:ind w:firstLine="400" w:firstLineChars="200"/>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0"/>
          <w:szCs w:val="20"/>
          <w:highlight w:val="none"/>
        </w:rPr>
        <w:t>2.2夏季浇水时间避开高温时段。</w:t>
      </w:r>
    </w:p>
    <w:p>
      <w:pPr>
        <w:pStyle w:val="7"/>
        <w:ind w:firstLine="400" w:firstLineChars="200"/>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0"/>
          <w:szCs w:val="20"/>
          <w:highlight w:val="none"/>
        </w:rPr>
        <w:t>2.3喷药时间安排：22:00—翌日5:00。</w:t>
      </w:r>
    </w:p>
    <w:p>
      <w:pPr>
        <w:pStyle w:val="7"/>
        <w:ind w:firstLine="400" w:firstLineChars="200"/>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0"/>
          <w:szCs w:val="20"/>
          <w:highlight w:val="none"/>
        </w:rPr>
        <w:t>2.4养护作业需服从</w:t>
      </w:r>
      <w:r>
        <w:rPr>
          <w:rFonts w:hint="eastAsia" w:ascii="仿宋_GB2312" w:hAnsi="仿宋_GB2312" w:eastAsia="仿宋_GB2312" w:cs="仿宋_GB2312"/>
          <w:color w:val="auto"/>
          <w:sz w:val="20"/>
          <w:szCs w:val="20"/>
          <w:highlight w:val="none"/>
          <w:lang w:val="en-US" w:eastAsia="zh-CN"/>
        </w:rPr>
        <w:t>交通管理</w:t>
      </w:r>
      <w:r>
        <w:rPr>
          <w:rFonts w:ascii="仿宋_GB2312" w:hAnsi="仿宋_GB2312" w:eastAsia="仿宋_GB2312" w:cs="仿宋_GB2312"/>
          <w:color w:val="auto"/>
          <w:sz w:val="20"/>
          <w:szCs w:val="20"/>
          <w:highlight w:val="none"/>
        </w:rPr>
        <w:t>部门指挥，避免交通高峰期作业造成交通拥堵。</w:t>
      </w:r>
    </w:p>
    <w:p>
      <w:pPr>
        <w:pStyle w:val="7"/>
        <w:ind w:firstLine="400" w:firstLineChars="200"/>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0"/>
          <w:szCs w:val="20"/>
          <w:highlight w:val="none"/>
        </w:rPr>
        <w:t>2.5园林废弃物需做到随产随清。</w:t>
      </w:r>
    </w:p>
    <w:p>
      <w:pPr>
        <w:pStyle w:val="7"/>
        <w:ind w:firstLine="400" w:firstLineChars="200"/>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0"/>
          <w:szCs w:val="20"/>
          <w:highlight w:val="none"/>
        </w:rPr>
        <w:t>★3、养护管理要求须严格按照《2025-2027年福州市三角梅专项养护质量要求》执行。</w:t>
      </w:r>
    </w:p>
    <w:p>
      <w:pPr>
        <w:pStyle w:val="7"/>
        <w:ind w:firstLine="400" w:firstLineChars="200"/>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0"/>
          <w:szCs w:val="20"/>
          <w:highlight w:val="none"/>
        </w:rPr>
        <w:t>4、承包期内发生的一切事故，如治安、交通事故和劳资纠纷等，均由中标人承担。</w:t>
      </w:r>
    </w:p>
    <w:p>
      <w:pPr>
        <w:pStyle w:val="7"/>
        <w:ind w:firstLine="400" w:firstLineChars="200"/>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0"/>
          <w:szCs w:val="20"/>
          <w:highlight w:val="none"/>
        </w:rPr>
        <w:t>5、承包期内因台风、洪水等自然灾害引起的损失和风险均由中标人承担。</w:t>
      </w:r>
    </w:p>
    <w:p>
      <w:pPr>
        <w:pStyle w:val="7"/>
        <w:ind w:firstLine="400" w:firstLineChars="200"/>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0"/>
          <w:szCs w:val="20"/>
          <w:highlight w:val="none"/>
        </w:rPr>
        <w:t>6、中标人在承包期内应按国家、省、市有关规定及时发放工人工资。</w:t>
      </w:r>
    </w:p>
    <w:p>
      <w:pPr>
        <w:pStyle w:val="7"/>
        <w:ind w:firstLine="400" w:firstLineChars="200"/>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0"/>
          <w:szCs w:val="20"/>
          <w:highlight w:val="none"/>
        </w:rPr>
        <w:t>7、中标人应按要求完成采购人布置的应急性、阶段性</w:t>
      </w:r>
      <w:bookmarkStart w:id="0" w:name="_GoBack"/>
      <w:bookmarkEnd w:id="0"/>
      <w:r>
        <w:rPr>
          <w:rFonts w:ascii="仿宋_GB2312" w:hAnsi="仿宋_GB2312" w:eastAsia="仿宋_GB2312" w:cs="仿宋_GB2312"/>
          <w:color w:val="auto"/>
          <w:sz w:val="20"/>
          <w:szCs w:val="20"/>
          <w:highlight w:val="none"/>
        </w:rPr>
        <w:t>任务。</w:t>
      </w:r>
    </w:p>
    <w:p>
      <w:pPr>
        <w:pStyle w:val="7"/>
        <w:ind w:firstLine="400" w:firstLineChars="200"/>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0"/>
          <w:szCs w:val="20"/>
          <w:highlight w:val="none"/>
        </w:rPr>
        <w:t>★8、其他</w:t>
      </w:r>
    </w:p>
    <w:p>
      <w:pPr>
        <w:pStyle w:val="7"/>
        <w:ind w:firstLine="400" w:firstLineChars="200"/>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0"/>
          <w:szCs w:val="20"/>
          <w:highlight w:val="none"/>
        </w:rPr>
        <w:t>8.1中标</w:t>
      </w:r>
      <w:r>
        <w:rPr>
          <w:rFonts w:hint="eastAsia" w:ascii="仿宋_GB2312" w:hAnsi="仿宋_GB2312" w:eastAsia="仿宋_GB2312" w:cs="仿宋_GB2312"/>
          <w:color w:val="auto"/>
          <w:sz w:val="20"/>
          <w:szCs w:val="20"/>
          <w:highlight w:val="none"/>
          <w:lang w:eastAsia="zh-CN"/>
        </w:rPr>
        <w:t>人</w:t>
      </w:r>
      <w:r>
        <w:rPr>
          <w:rFonts w:ascii="仿宋_GB2312" w:hAnsi="仿宋_GB2312" w:eastAsia="仿宋_GB2312" w:cs="仿宋_GB2312"/>
          <w:color w:val="auto"/>
          <w:sz w:val="20"/>
          <w:szCs w:val="20"/>
          <w:highlight w:val="none"/>
        </w:rPr>
        <w:t>须无条件按照现状接收。</w:t>
      </w:r>
    </w:p>
    <w:p>
      <w:pPr>
        <w:pStyle w:val="7"/>
        <w:ind w:firstLine="400" w:firstLineChars="200"/>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0"/>
          <w:szCs w:val="20"/>
          <w:highlight w:val="none"/>
        </w:rPr>
        <w:t>8.</w:t>
      </w:r>
      <w:r>
        <w:rPr>
          <w:rFonts w:hint="eastAsia" w:ascii="仿宋_GB2312" w:hAnsi="仿宋_GB2312" w:eastAsia="仿宋_GB2312" w:cs="仿宋_GB2312"/>
          <w:color w:val="auto"/>
          <w:sz w:val="20"/>
          <w:szCs w:val="20"/>
          <w:highlight w:val="none"/>
          <w:lang w:val="en-US" w:eastAsia="zh-CN"/>
        </w:rPr>
        <w:t>2</w:t>
      </w:r>
      <w:r>
        <w:rPr>
          <w:rFonts w:ascii="仿宋_GB2312" w:hAnsi="仿宋_GB2312" w:eastAsia="仿宋_GB2312" w:cs="仿宋_GB2312"/>
          <w:color w:val="auto"/>
          <w:sz w:val="20"/>
          <w:szCs w:val="20"/>
          <w:highlight w:val="none"/>
        </w:rPr>
        <w:t>中标人不得转包、分包他人，若发现转包、分包，采购人有权终止合同，并追究相应法律责任。</w:t>
      </w:r>
    </w:p>
    <w:p>
      <w:pPr>
        <w:pStyle w:val="7"/>
        <w:jc w:val="both"/>
        <w:outlineLvl w:val="2"/>
        <w:rPr>
          <w:highlight w:val="none"/>
        </w:rPr>
      </w:pPr>
      <w:r>
        <w:rPr>
          <w:rFonts w:ascii="仿宋_GB2312" w:hAnsi="仿宋_GB2312" w:eastAsia="仿宋_GB2312" w:cs="仿宋_GB2312"/>
          <w:b/>
          <w:sz w:val="28"/>
          <w:highlight w:val="none"/>
        </w:rPr>
        <w:t>三、商务要求（以“★”标示的内容为不允许负偏离的实质性要求）</w:t>
      </w:r>
    </w:p>
    <w:p>
      <w:pPr>
        <w:pStyle w:val="7"/>
        <w:jc w:val="left"/>
        <w:rPr>
          <w:highlight w:val="none"/>
        </w:rPr>
      </w:pPr>
      <w:r>
        <w:rPr>
          <w:rFonts w:ascii="仿宋_GB2312" w:hAnsi="仿宋_GB2312" w:eastAsia="仿宋_GB2312" w:cs="仿宋_GB2312"/>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93"/>
        <w:gridCol w:w="662"/>
        <w:gridCol w:w="2025"/>
        <w:gridCol w:w="59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3" w:type="dxa"/>
          </w:tcPr>
          <w:p>
            <w:pPr>
              <w:pStyle w:val="7"/>
              <w:jc w:val="left"/>
              <w:rPr>
                <w:highlight w:val="none"/>
              </w:rPr>
            </w:pPr>
            <w:r>
              <w:rPr>
                <w:rFonts w:ascii="仿宋_GB2312" w:hAnsi="仿宋_GB2312" w:eastAsia="仿宋_GB2312" w:cs="仿宋_GB2312"/>
                <w:highlight w:val="none"/>
              </w:rPr>
              <w:t>序号</w:t>
            </w:r>
          </w:p>
        </w:tc>
        <w:tc>
          <w:tcPr>
            <w:tcW w:w="662" w:type="dxa"/>
          </w:tcPr>
          <w:p>
            <w:pPr>
              <w:pStyle w:val="7"/>
              <w:jc w:val="left"/>
              <w:rPr>
                <w:highlight w:val="none"/>
              </w:rPr>
            </w:pPr>
            <w:r>
              <w:rPr>
                <w:rFonts w:ascii="仿宋_GB2312" w:hAnsi="仿宋_GB2312" w:eastAsia="仿宋_GB2312" w:cs="仿宋_GB2312"/>
                <w:highlight w:val="none"/>
              </w:rPr>
              <w:t>参数性质</w:t>
            </w:r>
          </w:p>
        </w:tc>
        <w:tc>
          <w:tcPr>
            <w:tcW w:w="2025" w:type="dxa"/>
          </w:tcPr>
          <w:p>
            <w:pPr>
              <w:pStyle w:val="7"/>
              <w:jc w:val="left"/>
              <w:rPr>
                <w:highlight w:val="none"/>
              </w:rPr>
            </w:pPr>
            <w:r>
              <w:rPr>
                <w:rFonts w:ascii="仿宋_GB2312" w:hAnsi="仿宋_GB2312" w:eastAsia="仿宋_GB2312" w:cs="仿宋_GB2312"/>
                <w:highlight w:val="none"/>
              </w:rPr>
              <w:t>类型</w:t>
            </w:r>
          </w:p>
        </w:tc>
        <w:tc>
          <w:tcPr>
            <w:tcW w:w="5970" w:type="dxa"/>
          </w:tcPr>
          <w:p>
            <w:pPr>
              <w:pStyle w:val="7"/>
              <w:jc w:val="left"/>
              <w:rPr>
                <w:highlight w:val="none"/>
              </w:rPr>
            </w:pPr>
            <w:r>
              <w:rPr>
                <w:rFonts w:ascii="仿宋_GB2312" w:hAnsi="仿宋_GB2312" w:eastAsia="仿宋_GB2312" w:cs="仿宋_GB2312"/>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3" w:type="dxa"/>
          </w:tcPr>
          <w:p>
            <w:pPr>
              <w:pStyle w:val="7"/>
              <w:jc w:val="left"/>
              <w:rPr>
                <w:highlight w:val="none"/>
              </w:rPr>
            </w:pPr>
            <w:r>
              <w:rPr>
                <w:rFonts w:ascii="仿宋_GB2312" w:hAnsi="仿宋_GB2312" w:eastAsia="仿宋_GB2312" w:cs="仿宋_GB2312"/>
                <w:highlight w:val="none"/>
              </w:rPr>
              <w:t>1</w:t>
            </w:r>
          </w:p>
        </w:tc>
        <w:tc>
          <w:tcPr>
            <w:tcW w:w="662" w:type="dxa"/>
          </w:tcPr>
          <w:p>
            <w:pPr>
              <w:pStyle w:val="7"/>
              <w:jc w:val="left"/>
              <w:rPr>
                <w:highlight w:val="none"/>
              </w:rPr>
            </w:pPr>
            <w:r>
              <w:rPr>
                <w:rFonts w:ascii="仿宋_GB2312" w:hAnsi="仿宋_GB2312" w:eastAsia="仿宋_GB2312" w:cs="仿宋_GB2312"/>
                <w:highlight w:val="none"/>
              </w:rPr>
              <w:t>★</w:t>
            </w:r>
          </w:p>
        </w:tc>
        <w:tc>
          <w:tcPr>
            <w:tcW w:w="2025" w:type="dxa"/>
          </w:tcPr>
          <w:p>
            <w:pPr>
              <w:pStyle w:val="7"/>
              <w:jc w:val="left"/>
              <w:rPr>
                <w:highlight w:val="none"/>
              </w:rPr>
            </w:pPr>
            <w:r>
              <w:rPr>
                <w:rFonts w:ascii="仿宋_GB2312" w:hAnsi="仿宋_GB2312" w:eastAsia="仿宋_GB2312" w:cs="仿宋_GB2312"/>
                <w:highlight w:val="none"/>
              </w:rPr>
              <w:t>交货时间</w:t>
            </w:r>
          </w:p>
        </w:tc>
        <w:tc>
          <w:tcPr>
            <w:tcW w:w="5970" w:type="dxa"/>
          </w:tcPr>
          <w:p>
            <w:pPr>
              <w:pStyle w:val="7"/>
              <w:jc w:val="left"/>
              <w:rPr>
                <w:rFonts w:hint="eastAsia" w:eastAsia="仿宋_GB2312"/>
                <w:highlight w:val="none"/>
                <w:lang w:eastAsia="zh-CN"/>
              </w:rPr>
            </w:pPr>
            <w:r>
              <w:rPr>
                <w:rFonts w:ascii="仿宋_GB2312" w:hAnsi="仿宋_GB2312" w:eastAsia="仿宋_GB2312" w:cs="仿宋_GB2312"/>
                <w:b w:val="0"/>
                <w:bCs/>
                <w:sz w:val="20"/>
                <w:szCs w:val="20"/>
                <w:highlight w:val="none"/>
              </w:rPr>
              <w:t>本项目服务期</w:t>
            </w:r>
            <w:r>
              <w:rPr>
                <w:rFonts w:hint="eastAsia" w:ascii="仿宋_GB2312" w:hAnsi="仿宋_GB2312" w:eastAsia="仿宋_GB2312" w:cs="仿宋_GB2312"/>
                <w:b w:val="0"/>
                <w:bCs/>
                <w:sz w:val="20"/>
                <w:szCs w:val="20"/>
                <w:highlight w:val="none"/>
                <w:lang w:val="en-US" w:eastAsia="zh-CN"/>
              </w:rPr>
              <w:t>自合同签订之日起</w:t>
            </w:r>
            <w:r>
              <w:rPr>
                <w:rFonts w:ascii="仿宋_GB2312" w:hAnsi="仿宋_GB2312" w:eastAsia="仿宋_GB2312" w:cs="仿宋_GB2312"/>
                <w:b w:val="0"/>
                <w:bCs/>
                <w:sz w:val="20"/>
                <w:szCs w:val="20"/>
                <w:highlight w:val="none"/>
              </w:rPr>
              <w:t>至2027年12月31日</w:t>
            </w:r>
            <w:r>
              <w:rPr>
                <w:rFonts w:hint="eastAsia" w:ascii="仿宋_GB2312" w:hAnsi="仿宋_GB2312" w:eastAsia="仿宋_GB2312" w:cs="仿宋_GB2312"/>
                <w:b w:val="0"/>
                <w:bCs/>
                <w:sz w:val="20"/>
                <w:szCs w:val="20"/>
                <w:highlight w:val="none"/>
                <w:lang w:eastAsia="zh-CN"/>
              </w:rPr>
              <w:t>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3" w:type="dxa"/>
          </w:tcPr>
          <w:p>
            <w:pPr>
              <w:pStyle w:val="7"/>
              <w:jc w:val="left"/>
              <w:rPr>
                <w:highlight w:val="none"/>
              </w:rPr>
            </w:pPr>
            <w:r>
              <w:rPr>
                <w:rFonts w:ascii="仿宋_GB2312" w:hAnsi="仿宋_GB2312" w:eastAsia="仿宋_GB2312" w:cs="仿宋_GB2312"/>
                <w:highlight w:val="none"/>
              </w:rPr>
              <w:t>2</w:t>
            </w:r>
          </w:p>
        </w:tc>
        <w:tc>
          <w:tcPr>
            <w:tcW w:w="662" w:type="dxa"/>
          </w:tcPr>
          <w:p>
            <w:pPr>
              <w:pStyle w:val="7"/>
              <w:jc w:val="left"/>
              <w:rPr>
                <w:highlight w:val="none"/>
              </w:rPr>
            </w:pPr>
            <w:r>
              <w:rPr>
                <w:rFonts w:ascii="仿宋_GB2312" w:hAnsi="仿宋_GB2312" w:eastAsia="仿宋_GB2312" w:cs="仿宋_GB2312"/>
                <w:highlight w:val="none"/>
              </w:rPr>
              <w:t>★</w:t>
            </w:r>
          </w:p>
        </w:tc>
        <w:tc>
          <w:tcPr>
            <w:tcW w:w="2025" w:type="dxa"/>
          </w:tcPr>
          <w:p>
            <w:pPr>
              <w:pStyle w:val="7"/>
              <w:jc w:val="left"/>
              <w:rPr>
                <w:highlight w:val="none"/>
              </w:rPr>
            </w:pPr>
            <w:r>
              <w:rPr>
                <w:rFonts w:ascii="仿宋_GB2312" w:hAnsi="仿宋_GB2312" w:eastAsia="仿宋_GB2312" w:cs="仿宋_GB2312"/>
                <w:highlight w:val="none"/>
              </w:rPr>
              <w:t>交货地点</w:t>
            </w:r>
          </w:p>
        </w:tc>
        <w:tc>
          <w:tcPr>
            <w:tcW w:w="5970" w:type="dxa"/>
          </w:tcPr>
          <w:p>
            <w:pPr>
              <w:pStyle w:val="7"/>
              <w:jc w:val="left"/>
              <w:rPr>
                <w:highlight w:val="none"/>
              </w:rPr>
            </w:pPr>
            <w:r>
              <w:rPr>
                <w:rFonts w:ascii="仿宋_GB2312" w:hAnsi="仿宋_GB2312" w:eastAsia="仿宋_GB2312" w:cs="仿宋_GB2312"/>
                <w:highlight w:val="none"/>
              </w:rPr>
              <w:t>福州市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93" w:type="dxa"/>
          </w:tcPr>
          <w:p>
            <w:pPr>
              <w:pStyle w:val="7"/>
              <w:jc w:val="left"/>
              <w:rPr>
                <w:highlight w:val="none"/>
              </w:rPr>
            </w:pPr>
            <w:r>
              <w:rPr>
                <w:rFonts w:ascii="仿宋_GB2312" w:hAnsi="仿宋_GB2312" w:eastAsia="仿宋_GB2312" w:cs="仿宋_GB2312"/>
                <w:highlight w:val="none"/>
              </w:rPr>
              <w:t>3</w:t>
            </w:r>
          </w:p>
        </w:tc>
        <w:tc>
          <w:tcPr>
            <w:tcW w:w="662" w:type="dxa"/>
          </w:tcPr>
          <w:p>
            <w:pPr>
              <w:pStyle w:val="7"/>
              <w:jc w:val="left"/>
              <w:rPr>
                <w:highlight w:val="none"/>
              </w:rPr>
            </w:pPr>
            <w:r>
              <w:rPr>
                <w:rFonts w:ascii="仿宋_GB2312" w:hAnsi="仿宋_GB2312" w:eastAsia="仿宋_GB2312" w:cs="仿宋_GB2312"/>
                <w:highlight w:val="none"/>
              </w:rPr>
              <w:t>★</w:t>
            </w:r>
          </w:p>
        </w:tc>
        <w:tc>
          <w:tcPr>
            <w:tcW w:w="2025" w:type="dxa"/>
          </w:tcPr>
          <w:p>
            <w:pPr>
              <w:pStyle w:val="7"/>
              <w:jc w:val="left"/>
              <w:rPr>
                <w:highlight w:val="none"/>
              </w:rPr>
            </w:pPr>
            <w:r>
              <w:rPr>
                <w:rFonts w:ascii="仿宋_GB2312" w:hAnsi="仿宋_GB2312" w:eastAsia="仿宋_GB2312" w:cs="仿宋_GB2312"/>
                <w:highlight w:val="none"/>
              </w:rPr>
              <w:t>交货条件</w:t>
            </w:r>
          </w:p>
        </w:tc>
        <w:tc>
          <w:tcPr>
            <w:tcW w:w="5970" w:type="dxa"/>
          </w:tcPr>
          <w:p>
            <w:pPr>
              <w:pStyle w:val="7"/>
              <w:jc w:val="left"/>
              <w:rPr>
                <w:highlight w:val="none"/>
              </w:rPr>
            </w:pPr>
            <w:r>
              <w:rPr>
                <w:rFonts w:ascii="仿宋_GB2312" w:hAnsi="仿宋_GB2312" w:eastAsia="仿宋_GB2312" w:cs="仿宋_GB2312"/>
                <w:highlight w:val="none"/>
              </w:rPr>
              <w:t>提供符合招标文件要求及中标人投标文件响应承诺的服务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3" w:type="dxa"/>
          </w:tcPr>
          <w:p>
            <w:pPr>
              <w:pStyle w:val="7"/>
              <w:jc w:val="left"/>
              <w:rPr>
                <w:highlight w:val="none"/>
              </w:rPr>
            </w:pPr>
            <w:r>
              <w:rPr>
                <w:rFonts w:ascii="仿宋_GB2312" w:hAnsi="仿宋_GB2312" w:eastAsia="仿宋_GB2312" w:cs="仿宋_GB2312"/>
                <w:highlight w:val="none"/>
              </w:rPr>
              <w:t>4</w:t>
            </w:r>
          </w:p>
        </w:tc>
        <w:tc>
          <w:tcPr>
            <w:tcW w:w="662" w:type="dxa"/>
          </w:tcPr>
          <w:p>
            <w:pPr>
              <w:pStyle w:val="7"/>
              <w:jc w:val="left"/>
              <w:rPr>
                <w:highlight w:val="none"/>
              </w:rPr>
            </w:pPr>
            <w:r>
              <w:rPr>
                <w:rFonts w:ascii="仿宋_GB2312" w:hAnsi="仿宋_GB2312" w:eastAsia="仿宋_GB2312" w:cs="仿宋_GB2312"/>
                <w:highlight w:val="none"/>
              </w:rPr>
              <w:t>★</w:t>
            </w:r>
          </w:p>
        </w:tc>
        <w:tc>
          <w:tcPr>
            <w:tcW w:w="2025" w:type="dxa"/>
          </w:tcPr>
          <w:p>
            <w:pPr>
              <w:pStyle w:val="7"/>
              <w:jc w:val="left"/>
              <w:rPr>
                <w:highlight w:val="none"/>
              </w:rPr>
            </w:pPr>
            <w:r>
              <w:rPr>
                <w:rFonts w:ascii="仿宋_GB2312" w:hAnsi="仿宋_GB2312" w:eastAsia="仿宋_GB2312" w:cs="仿宋_GB2312"/>
                <w:highlight w:val="none"/>
              </w:rPr>
              <w:t>是否邀请投标人验收</w:t>
            </w:r>
          </w:p>
        </w:tc>
        <w:tc>
          <w:tcPr>
            <w:tcW w:w="5970" w:type="dxa"/>
          </w:tcPr>
          <w:p>
            <w:pPr>
              <w:pStyle w:val="7"/>
              <w:jc w:val="left"/>
              <w:rPr>
                <w:highlight w:val="none"/>
              </w:rPr>
            </w:pPr>
            <w:r>
              <w:rPr>
                <w:rFonts w:ascii="仿宋_GB2312" w:hAnsi="仿宋_GB2312" w:eastAsia="仿宋_GB2312" w:cs="仿宋_GB2312"/>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3" w:type="dxa"/>
          </w:tcPr>
          <w:p>
            <w:pPr>
              <w:pStyle w:val="7"/>
              <w:jc w:val="left"/>
              <w:rPr>
                <w:highlight w:val="none"/>
              </w:rPr>
            </w:pPr>
            <w:r>
              <w:rPr>
                <w:rFonts w:ascii="仿宋_GB2312" w:hAnsi="仿宋_GB2312" w:eastAsia="仿宋_GB2312" w:cs="仿宋_GB2312"/>
                <w:highlight w:val="none"/>
              </w:rPr>
              <w:t>5</w:t>
            </w:r>
          </w:p>
        </w:tc>
        <w:tc>
          <w:tcPr>
            <w:tcW w:w="662" w:type="dxa"/>
          </w:tcPr>
          <w:p>
            <w:pPr>
              <w:pStyle w:val="7"/>
              <w:jc w:val="left"/>
              <w:rPr>
                <w:highlight w:val="none"/>
              </w:rPr>
            </w:pPr>
            <w:r>
              <w:rPr>
                <w:rFonts w:ascii="仿宋_GB2312" w:hAnsi="仿宋_GB2312" w:eastAsia="仿宋_GB2312" w:cs="仿宋_GB2312"/>
                <w:highlight w:val="none"/>
              </w:rPr>
              <w:t>★</w:t>
            </w:r>
          </w:p>
        </w:tc>
        <w:tc>
          <w:tcPr>
            <w:tcW w:w="2025" w:type="dxa"/>
          </w:tcPr>
          <w:p>
            <w:pPr>
              <w:pStyle w:val="7"/>
              <w:jc w:val="left"/>
              <w:rPr>
                <w:highlight w:val="none"/>
              </w:rPr>
            </w:pPr>
            <w:r>
              <w:rPr>
                <w:rFonts w:ascii="仿宋_GB2312" w:hAnsi="仿宋_GB2312" w:eastAsia="仿宋_GB2312" w:cs="仿宋_GB2312"/>
                <w:highlight w:val="none"/>
              </w:rPr>
              <w:t>履约验收方式</w:t>
            </w:r>
          </w:p>
        </w:tc>
        <w:tc>
          <w:tcPr>
            <w:tcW w:w="5970" w:type="dxa"/>
          </w:tcPr>
          <w:p>
            <w:pPr>
              <w:pStyle w:val="7"/>
              <w:jc w:val="left"/>
              <w:rPr>
                <w:highlight w:val="none"/>
              </w:rPr>
            </w:pPr>
            <w:r>
              <w:rPr>
                <w:rFonts w:ascii="仿宋_GB2312" w:hAnsi="仿宋_GB2312" w:eastAsia="仿宋_GB2312" w:cs="仿宋_GB2312"/>
                <w:highlight w:val="none"/>
              </w:rPr>
              <w:t>1、期次1，说明：按季考核，服务期结束后由采购人根据考核情况进行验收。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3" w:type="dxa"/>
          </w:tcPr>
          <w:p>
            <w:pPr>
              <w:pStyle w:val="7"/>
              <w:jc w:val="left"/>
              <w:rPr>
                <w:highlight w:val="none"/>
              </w:rPr>
            </w:pPr>
            <w:r>
              <w:rPr>
                <w:rFonts w:ascii="仿宋_GB2312" w:hAnsi="仿宋_GB2312" w:eastAsia="仿宋_GB2312" w:cs="仿宋_GB2312"/>
                <w:highlight w:val="none"/>
              </w:rPr>
              <w:t>6</w:t>
            </w:r>
          </w:p>
        </w:tc>
        <w:tc>
          <w:tcPr>
            <w:tcW w:w="662" w:type="dxa"/>
          </w:tcPr>
          <w:p>
            <w:pPr>
              <w:pStyle w:val="7"/>
              <w:jc w:val="left"/>
              <w:rPr>
                <w:highlight w:val="none"/>
              </w:rPr>
            </w:pPr>
            <w:r>
              <w:rPr>
                <w:rFonts w:ascii="仿宋_GB2312" w:hAnsi="仿宋_GB2312" w:eastAsia="仿宋_GB2312" w:cs="仿宋_GB2312"/>
                <w:highlight w:val="none"/>
              </w:rPr>
              <w:t>★</w:t>
            </w:r>
          </w:p>
        </w:tc>
        <w:tc>
          <w:tcPr>
            <w:tcW w:w="2025" w:type="dxa"/>
          </w:tcPr>
          <w:p>
            <w:pPr>
              <w:pStyle w:val="7"/>
              <w:jc w:val="left"/>
              <w:rPr>
                <w:highlight w:val="none"/>
              </w:rPr>
            </w:pPr>
            <w:r>
              <w:rPr>
                <w:rFonts w:ascii="仿宋_GB2312" w:hAnsi="仿宋_GB2312" w:eastAsia="仿宋_GB2312" w:cs="仿宋_GB2312"/>
                <w:highlight w:val="none"/>
              </w:rPr>
              <w:t>合同支付方式</w:t>
            </w:r>
          </w:p>
        </w:tc>
        <w:tc>
          <w:tcPr>
            <w:tcW w:w="5970" w:type="dxa"/>
          </w:tcPr>
          <w:p>
            <w:pPr>
              <w:pStyle w:val="7"/>
              <w:jc w:val="left"/>
              <w:rPr>
                <w:rFonts w:hint="eastAsia" w:eastAsia="仿宋_GB2312"/>
                <w:highlight w:val="none"/>
                <w:lang w:eastAsia="zh-CN"/>
              </w:rPr>
            </w:pPr>
            <w:r>
              <w:rPr>
                <w:rFonts w:ascii="仿宋_GB2312" w:hAnsi="仿宋_GB2312" w:eastAsia="仿宋_GB2312" w:cs="仿宋_GB2312"/>
                <w:highlight w:val="none"/>
              </w:rPr>
              <w:t>1、进度款，完成日常养护，</w:t>
            </w:r>
            <w:r>
              <w:rPr>
                <w:rFonts w:hint="eastAsia" w:ascii="仿宋_GB2312" w:hAnsi="仿宋_GB2312" w:eastAsia="仿宋_GB2312" w:cs="仿宋_GB2312"/>
                <w:highlight w:val="none"/>
                <w:lang w:eastAsia="zh-CN"/>
              </w:rPr>
              <w:t>按</w:t>
            </w:r>
            <w:r>
              <w:rPr>
                <w:rFonts w:ascii="仿宋_GB2312" w:hAnsi="仿宋_GB2312" w:eastAsia="仿宋_GB2312" w:cs="仿宋_GB2312"/>
                <w:highlight w:val="none"/>
              </w:rPr>
              <w:t>季度付款，达到付款条件起1</w:t>
            </w:r>
            <w:r>
              <w:rPr>
                <w:rFonts w:hint="eastAsia" w:ascii="仿宋_GB2312" w:hAnsi="仿宋_GB2312" w:eastAsia="仿宋_GB2312" w:cs="仿宋_GB2312"/>
                <w:highlight w:val="none"/>
                <w:lang w:val="en-US" w:eastAsia="zh-CN"/>
              </w:rPr>
              <w:t>0</w:t>
            </w:r>
            <w:r>
              <w:rPr>
                <w:rFonts w:ascii="仿宋_GB2312" w:hAnsi="仿宋_GB2312" w:eastAsia="仿宋_GB2312" w:cs="仿宋_GB2312"/>
                <w:highlight w:val="none"/>
              </w:rPr>
              <w:t>日内，支付合同总金额的</w:t>
            </w:r>
            <w:r>
              <w:rPr>
                <w:rFonts w:hint="eastAsia" w:ascii="仿宋_GB2312" w:hAnsi="仿宋_GB2312" w:eastAsia="仿宋_GB2312" w:cs="仿宋_GB2312"/>
                <w:highlight w:val="none"/>
                <w:lang w:val="en-US" w:eastAsia="zh-CN"/>
              </w:rPr>
              <w:t>25</w:t>
            </w:r>
            <w:r>
              <w:rPr>
                <w:rFonts w:ascii="仿宋_GB2312" w:hAnsi="仿宋_GB2312" w:eastAsia="仿宋_GB2312" w:cs="仿宋_GB2312"/>
                <w:highlight w:val="none"/>
              </w:rPr>
              <w:t>%</w:t>
            </w:r>
            <w:r>
              <w:rPr>
                <w:rFonts w:hint="eastAsia" w:ascii="仿宋_GB2312" w:hAnsi="仿宋_GB2312" w:eastAsia="仿宋_GB2312" w:cs="仿宋_GB2312"/>
                <w:highlight w:val="none"/>
                <w:lang w:eastAsia="zh-CN"/>
              </w:rPr>
              <w:t>；</w:t>
            </w:r>
          </w:p>
          <w:p>
            <w:pPr>
              <w:pStyle w:val="7"/>
              <w:jc w:val="left"/>
              <w:rPr>
                <w:rFonts w:hint="eastAsia" w:eastAsia="仿宋_GB2312"/>
                <w:highlight w:val="none"/>
                <w:lang w:eastAsia="zh-CN"/>
              </w:rPr>
            </w:pPr>
            <w:r>
              <w:rPr>
                <w:rFonts w:ascii="仿宋_GB2312" w:hAnsi="仿宋_GB2312" w:eastAsia="仿宋_GB2312" w:cs="仿宋_GB2312"/>
                <w:highlight w:val="none"/>
              </w:rPr>
              <w:t>2、进度款，完成日常养护，</w:t>
            </w:r>
            <w:r>
              <w:rPr>
                <w:rFonts w:hint="eastAsia" w:ascii="仿宋_GB2312" w:hAnsi="仿宋_GB2312" w:eastAsia="仿宋_GB2312" w:cs="仿宋_GB2312"/>
                <w:highlight w:val="none"/>
                <w:lang w:eastAsia="zh-CN"/>
              </w:rPr>
              <w:t>按</w:t>
            </w:r>
            <w:r>
              <w:rPr>
                <w:rFonts w:ascii="仿宋_GB2312" w:hAnsi="仿宋_GB2312" w:eastAsia="仿宋_GB2312" w:cs="仿宋_GB2312"/>
                <w:highlight w:val="none"/>
              </w:rPr>
              <w:t>季度付款，达到付款条件起1</w:t>
            </w:r>
            <w:r>
              <w:rPr>
                <w:rFonts w:hint="eastAsia" w:ascii="仿宋_GB2312" w:hAnsi="仿宋_GB2312" w:eastAsia="仿宋_GB2312" w:cs="仿宋_GB2312"/>
                <w:highlight w:val="none"/>
                <w:lang w:val="en-US" w:eastAsia="zh-CN"/>
              </w:rPr>
              <w:t>0</w:t>
            </w:r>
            <w:r>
              <w:rPr>
                <w:rFonts w:ascii="仿宋_GB2312" w:hAnsi="仿宋_GB2312" w:eastAsia="仿宋_GB2312" w:cs="仿宋_GB2312"/>
                <w:highlight w:val="none"/>
              </w:rPr>
              <w:t>日内，支付合同总金额的</w:t>
            </w:r>
            <w:r>
              <w:rPr>
                <w:rFonts w:hint="eastAsia" w:ascii="仿宋_GB2312" w:hAnsi="仿宋_GB2312" w:eastAsia="仿宋_GB2312" w:cs="仿宋_GB2312"/>
                <w:highlight w:val="none"/>
                <w:lang w:val="en-US" w:eastAsia="zh-CN"/>
              </w:rPr>
              <w:t>25</w:t>
            </w:r>
            <w:r>
              <w:rPr>
                <w:rFonts w:ascii="仿宋_GB2312" w:hAnsi="仿宋_GB2312" w:eastAsia="仿宋_GB2312" w:cs="仿宋_GB2312"/>
                <w:highlight w:val="none"/>
              </w:rPr>
              <w:t>%</w:t>
            </w:r>
            <w:r>
              <w:rPr>
                <w:rFonts w:hint="eastAsia" w:ascii="仿宋_GB2312" w:hAnsi="仿宋_GB2312" w:eastAsia="仿宋_GB2312" w:cs="仿宋_GB2312"/>
                <w:highlight w:val="none"/>
                <w:lang w:eastAsia="zh-CN"/>
              </w:rPr>
              <w:t>；</w:t>
            </w:r>
          </w:p>
          <w:p>
            <w:pPr>
              <w:pStyle w:val="7"/>
              <w:jc w:val="left"/>
              <w:rPr>
                <w:rFonts w:hint="eastAsia" w:eastAsia="仿宋_GB2312"/>
                <w:highlight w:val="none"/>
                <w:lang w:eastAsia="zh-CN"/>
              </w:rPr>
            </w:pPr>
            <w:r>
              <w:rPr>
                <w:rFonts w:ascii="仿宋_GB2312" w:hAnsi="仿宋_GB2312" w:eastAsia="仿宋_GB2312" w:cs="仿宋_GB2312"/>
                <w:highlight w:val="none"/>
              </w:rPr>
              <w:t>3、进度款，完成日常养护，</w:t>
            </w:r>
            <w:r>
              <w:rPr>
                <w:rFonts w:hint="eastAsia" w:ascii="仿宋_GB2312" w:hAnsi="仿宋_GB2312" w:eastAsia="仿宋_GB2312" w:cs="仿宋_GB2312"/>
                <w:highlight w:val="none"/>
                <w:lang w:eastAsia="zh-CN"/>
              </w:rPr>
              <w:t>按</w:t>
            </w:r>
            <w:r>
              <w:rPr>
                <w:rFonts w:ascii="仿宋_GB2312" w:hAnsi="仿宋_GB2312" w:eastAsia="仿宋_GB2312" w:cs="仿宋_GB2312"/>
                <w:highlight w:val="none"/>
              </w:rPr>
              <w:t>季度付款，达到付款条件起1</w:t>
            </w:r>
            <w:r>
              <w:rPr>
                <w:rFonts w:hint="eastAsia" w:ascii="仿宋_GB2312" w:hAnsi="仿宋_GB2312" w:eastAsia="仿宋_GB2312" w:cs="仿宋_GB2312"/>
                <w:highlight w:val="none"/>
                <w:lang w:val="en-US" w:eastAsia="zh-CN"/>
              </w:rPr>
              <w:t>0</w:t>
            </w:r>
            <w:r>
              <w:rPr>
                <w:rFonts w:ascii="仿宋_GB2312" w:hAnsi="仿宋_GB2312" w:eastAsia="仿宋_GB2312" w:cs="仿宋_GB2312"/>
                <w:highlight w:val="none"/>
              </w:rPr>
              <w:t>日内，支付合同总金额的</w:t>
            </w:r>
            <w:r>
              <w:rPr>
                <w:rFonts w:hint="eastAsia" w:ascii="仿宋_GB2312" w:hAnsi="仿宋_GB2312" w:eastAsia="仿宋_GB2312" w:cs="仿宋_GB2312"/>
                <w:highlight w:val="none"/>
                <w:lang w:val="en-US" w:eastAsia="zh-CN"/>
              </w:rPr>
              <w:t>25</w:t>
            </w:r>
            <w:r>
              <w:rPr>
                <w:rFonts w:ascii="仿宋_GB2312" w:hAnsi="仿宋_GB2312" w:eastAsia="仿宋_GB2312" w:cs="仿宋_GB2312"/>
                <w:highlight w:val="none"/>
              </w:rPr>
              <w:t>%</w:t>
            </w:r>
            <w:r>
              <w:rPr>
                <w:rFonts w:hint="eastAsia" w:ascii="仿宋_GB2312" w:hAnsi="仿宋_GB2312" w:eastAsia="仿宋_GB2312" w:cs="仿宋_GB2312"/>
                <w:highlight w:val="none"/>
                <w:lang w:eastAsia="zh-CN"/>
              </w:rPr>
              <w:t>；</w:t>
            </w:r>
          </w:p>
          <w:p>
            <w:pPr>
              <w:pStyle w:val="7"/>
              <w:jc w:val="left"/>
              <w:rPr>
                <w:rFonts w:hint="eastAsia" w:eastAsia="仿宋_GB2312"/>
                <w:highlight w:val="none"/>
                <w:lang w:eastAsia="zh-CN"/>
              </w:rPr>
            </w:pPr>
            <w:r>
              <w:rPr>
                <w:rFonts w:ascii="仿宋_GB2312" w:hAnsi="仿宋_GB2312" w:eastAsia="仿宋_GB2312" w:cs="仿宋_GB2312"/>
                <w:highlight w:val="none"/>
              </w:rPr>
              <w:t>4、进度款，</w:t>
            </w:r>
            <w:r>
              <w:rPr>
                <w:rFonts w:hint="eastAsia" w:ascii="仿宋_GB2312" w:hAnsi="仿宋_GB2312" w:eastAsia="仿宋_GB2312" w:cs="仿宋_GB2312"/>
                <w:highlight w:val="none"/>
                <w:lang w:eastAsia="zh-CN"/>
              </w:rPr>
              <w:t>服务期结束</w:t>
            </w:r>
            <w:r>
              <w:rPr>
                <w:rFonts w:ascii="仿宋_GB2312" w:hAnsi="仿宋_GB2312" w:eastAsia="仿宋_GB2312" w:cs="仿宋_GB2312"/>
                <w:highlight w:val="none"/>
              </w:rPr>
              <w:t>，并经采购人验收合格，达到付款条件起1</w:t>
            </w:r>
            <w:r>
              <w:rPr>
                <w:rFonts w:hint="eastAsia" w:ascii="仿宋_GB2312" w:hAnsi="仿宋_GB2312" w:eastAsia="仿宋_GB2312" w:cs="仿宋_GB2312"/>
                <w:highlight w:val="none"/>
                <w:lang w:val="en-US" w:eastAsia="zh-CN"/>
              </w:rPr>
              <w:t>0</w:t>
            </w:r>
            <w:r>
              <w:rPr>
                <w:rFonts w:ascii="仿宋_GB2312" w:hAnsi="仿宋_GB2312" w:eastAsia="仿宋_GB2312" w:cs="仿宋_GB2312"/>
                <w:highlight w:val="none"/>
              </w:rPr>
              <w:t>日内，支付合同总金额的</w:t>
            </w:r>
            <w:r>
              <w:rPr>
                <w:rFonts w:hint="eastAsia" w:ascii="仿宋_GB2312" w:hAnsi="仿宋_GB2312" w:eastAsia="仿宋_GB2312" w:cs="仿宋_GB2312"/>
                <w:highlight w:val="none"/>
                <w:lang w:val="en-US" w:eastAsia="zh-CN"/>
              </w:rPr>
              <w:t>25</w:t>
            </w:r>
            <w:r>
              <w:rPr>
                <w:rFonts w:ascii="仿宋_GB2312" w:hAnsi="仿宋_GB2312" w:eastAsia="仿宋_GB2312" w:cs="仿宋_GB2312"/>
                <w:highlight w:val="none"/>
              </w:rPr>
              <w:t>%</w:t>
            </w:r>
            <w:r>
              <w:rPr>
                <w:rFonts w:hint="eastAsia" w:ascii="仿宋_GB2312" w:hAnsi="仿宋_GB2312" w:eastAsia="仿宋_GB2312" w:cs="仿宋_GB2312"/>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93" w:type="dxa"/>
          </w:tcPr>
          <w:p>
            <w:pPr>
              <w:pStyle w:val="7"/>
              <w:jc w:val="left"/>
              <w:rPr>
                <w:highlight w:val="none"/>
              </w:rPr>
            </w:pPr>
            <w:r>
              <w:rPr>
                <w:rFonts w:ascii="仿宋_GB2312" w:hAnsi="仿宋_GB2312" w:eastAsia="仿宋_GB2312" w:cs="仿宋_GB2312"/>
                <w:highlight w:val="none"/>
              </w:rPr>
              <w:t>7</w:t>
            </w:r>
          </w:p>
        </w:tc>
        <w:tc>
          <w:tcPr>
            <w:tcW w:w="662" w:type="dxa"/>
          </w:tcPr>
          <w:p>
            <w:pPr>
              <w:pStyle w:val="7"/>
              <w:jc w:val="left"/>
              <w:rPr>
                <w:highlight w:val="none"/>
              </w:rPr>
            </w:pPr>
            <w:r>
              <w:rPr>
                <w:rFonts w:ascii="仿宋_GB2312" w:hAnsi="仿宋_GB2312" w:eastAsia="仿宋_GB2312" w:cs="仿宋_GB2312"/>
                <w:highlight w:val="none"/>
              </w:rPr>
              <w:t>★</w:t>
            </w:r>
          </w:p>
        </w:tc>
        <w:tc>
          <w:tcPr>
            <w:tcW w:w="2025" w:type="dxa"/>
          </w:tcPr>
          <w:p>
            <w:pPr>
              <w:pStyle w:val="7"/>
              <w:jc w:val="left"/>
              <w:rPr>
                <w:highlight w:val="none"/>
              </w:rPr>
            </w:pPr>
            <w:r>
              <w:rPr>
                <w:rFonts w:ascii="仿宋_GB2312" w:hAnsi="仿宋_GB2312" w:eastAsia="仿宋_GB2312" w:cs="仿宋_GB2312"/>
                <w:highlight w:val="none"/>
              </w:rPr>
              <w:t>履约保证金</w:t>
            </w:r>
          </w:p>
        </w:tc>
        <w:tc>
          <w:tcPr>
            <w:tcW w:w="5970" w:type="dxa"/>
          </w:tcPr>
          <w:p>
            <w:pPr>
              <w:pStyle w:val="7"/>
              <w:jc w:val="left"/>
              <w:rPr>
                <w:highlight w:val="none"/>
              </w:rPr>
            </w:pPr>
            <w:r>
              <w:rPr>
                <w:rFonts w:ascii="仿宋_GB2312" w:hAnsi="仿宋_GB2312" w:eastAsia="仿宋_GB2312" w:cs="仿宋_GB2312"/>
                <w:highlight w:val="none"/>
              </w:rPr>
              <w:t>不缴纳</w:t>
            </w:r>
          </w:p>
          <w:p>
            <w:pPr>
              <w:pStyle w:val="7"/>
              <w:jc w:val="left"/>
              <w:rPr>
                <w:highlight w:val="none"/>
              </w:rPr>
            </w:pPr>
            <w:r>
              <w:rPr>
                <w:rFonts w:ascii="仿宋_GB2312" w:hAnsi="仿宋_GB2312" w:eastAsia="仿宋_GB2312" w:cs="仿宋_GB2312"/>
                <w:highlight w:val="none"/>
              </w:rPr>
              <w:t>缴纳方式：无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3" w:type="dxa"/>
          </w:tcPr>
          <w:p>
            <w:pPr>
              <w:pStyle w:val="7"/>
              <w:jc w:val="left"/>
              <w:rPr>
                <w:highlight w:val="none"/>
              </w:rPr>
            </w:pPr>
            <w:r>
              <w:rPr>
                <w:rFonts w:ascii="仿宋_GB2312" w:hAnsi="仿宋_GB2312" w:eastAsia="仿宋_GB2312" w:cs="仿宋_GB2312"/>
                <w:highlight w:val="none"/>
              </w:rPr>
              <w:t>8</w:t>
            </w:r>
          </w:p>
        </w:tc>
        <w:tc>
          <w:tcPr>
            <w:tcW w:w="662" w:type="dxa"/>
          </w:tcPr>
          <w:p>
            <w:pPr>
              <w:pStyle w:val="7"/>
              <w:jc w:val="left"/>
              <w:rPr>
                <w:highlight w:val="none"/>
              </w:rPr>
            </w:pPr>
            <w:r>
              <w:rPr>
                <w:rFonts w:ascii="仿宋_GB2312" w:hAnsi="仿宋_GB2312" w:eastAsia="仿宋_GB2312" w:cs="仿宋_GB2312"/>
                <w:highlight w:val="none"/>
              </w:rPr>
              <w:t>★</w:t>
            </w:r>
          </w:p>
        </w:tc>
        <w:tc>
          <w:tcPr>
            <w:tcW w:w="2025" w:type="dxa"/>
          </w:tcPr>
          <w:p>
            <w:pPr>
              <w:pStyle w:val="7"/>
              <w:jc w:val="left"/>
              <w:rPr>
                <w:highlight w:val="none"/>
              </w:rPr>
            </w:pPr>
            <w:r>
              <w:rPr>
                <w:rFonts w:ascii="仿宋_GB2312" w:hAnsi="仿宋_GB2312" w:eastAsia="仿宋_GB2312" w:cs="仿宋_GB2312"/>
                <w:highlight w:val="none"/>
              </w:rPr>
              <w:t>其他</w:t>
            </w:r>
          </w:p>
        </w:tc>
        <w:tc>
          <w:tcPr>
            <w:tcW w:w="5970" w:type="dxa"/>
          </w:tcPr>
          <w:p>
            <w:pPr>
              <w:pStyle w:val="7"/>
              <w:jc w:val="left"/>
              <w:rPr>
                <w:highlight w:val="none"/>
              </w:rPr>
            </w:pPr>
            <w:r>
              <w:rPr>
                <w:rFonts w:ascii="仿宋_GB2312" w:hAnsi="仿宋_GB2312" w:eastAsia="仿宋_GB2312" w:cs="仿宋_GB2312"/>
                <w:highlight w:val="none"/>
              </w:rPr>
              <w:t>对合同支付方式的补充说明：前三期次为中标人完成当季度的养护工作后，经采购人考评且财政资金批复到位后10日内，据实支付养护经费；服务期最后期次（第四期）</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项目</w:t>
            </w:r>
            <w:r>
              <w:rPr>
                <w:rFonts w:ascii="仿宋_GB2312" w:hAnsi="仿宋_GB2312" w:eastAsia="仿宋_GB2312" w:cs="仿宋_GB2312"/>
                <w:highlight w:val="none"/>
              </w:rPr>
              <w:t>服务完成并经采购人验收合格，待财政资金批复到位之日起10日内，采购人一次性支付相应款项。付款前，中标人须向采购人出具符合国家财税规定及采购人要求的合法有效发票，否则采购人有权顺延该笔款项支付时间，由此产生的相关责任由中标人承担。（本条款与招标文件其他条款约定不一致的，以本条款约定为准）</w:t>
            </w:r>
          </w:p>
        </w:tc>
      </w:tr>
    </w:tbl>
    <w:p>
      <w:pPr>
        <w:pStyle w:val="7"/>
        <w:jc w:val="left"/>
        <w:rPr>
          <w:rFonts w:ascii="仿宋_GB2312" w:hAnsi="仿宋_GB2312" w:eastAsia="仿宋_GB2312" w:cs="仿宋_GB2312"/>
          <w:highlight w:val="none"/>
        </w:rPr>
      </w:pPr>
      <w:r>
        <w:rPr>
          <w:rFonts w:ascii="仿宋_GB2312" w:hAnsi="仿宋_GB2312" w:eastAsia="仿宋_GB2312" w:cs="仿宋_GB2312"/>
          <w:highlight w:val="none"/>
        </w:rPr>
        <w:t>其他商务要求</w:t>
      </w:r>
    </w:p>
    <w:p>
      <w:pPr>
        <w:pStyle w:val="7"/>
        <w:ind w:firstLine="480"/>
        <w:jc w:val="left"/>
        <w:rPr>
          <w:highlight w:val="none"/>
        </w:rPr>
      </w:pPr>
      <w:r>
        <w:rPr>
          <w:rFonts w:ascii="仿宋_GB2312" w:hAnsi="仿宋_GB2312" w:eastAsia="仿宋_GB2312" w:cs="仿宋_GB2312"/>
          <w:highlight w:val="none"/>
        </w:rPr>
        <w:t>★9、违约责任约定</w:t>
      </w:r>
    </w:p>
    <w:p>
      <w:pPr>
        <w:pStyle w:val="7"/>
        <w:spacing w:after="150"/>
        <w:ind w:firstLine="420"/>
        <w:rPr>
          <w:highlight w:val="none"/>
        </w:rPr>
      </w:pPr>
      <w:r>
        <w:rPr>
          <w:rFonts w:ascii="仿宋_GB2312" w:hAnsi="仿宋_GB2312" w:eastAsia="仿宋_GB2312" w:cs="仿宋_GB2312"/>
          <w:highlight w:val="none"/>
        </w:rPr>
        <w:t>9.1中标人</w:t>
      </w:r>
      <w:r>
        <w:rPr>
          <w:rFonts w:hint="eastAsia" w:ascii="仿宋_GB2312" w:hAnsi="仿宋_GB2312" w:eastAsia="仿宋_GB2312" w:cs="仿宋_GB2312"/>
          <w:color w:val="auto"/>
          <w:highlight w:val="none"/>
          <w:lang w:eastAsia="zh-CN"/>
        </w:rPr>
        <w:t>须</w:t>
      </w:r>
      <w:r>
        <w:rPr>
          <w:rFonts w:ascii="仿宋_GB2312" w:hAnsi="仿宋_GB2312" w:eastAsia="仿宋_GB2312" w:cs="仿宋_GB2312"/>
          <w:color w:val="auto"/>
          <w:highlight w:val="none"/>
        </w:rPr>
        <w:t>按实际接收的</w:t>
      </w:r>
      <w:r>
        <w:rPr>
          <w:rFonts w:hint="eastAsia" w:ascii="仿宋_GB2312" w:hAnsi="仿宋_GB2312" w:eastAsia="仿宋_GB2312" w:cs="仿宋_GB2312"/>
          <w:color w:val="auto"/>
          <w:highlight w:val="none"/>
          <w:lang w:eastAsia="zh-CN"/>
        </w:rPr>
        <w:t>养护</w:t>
      </w:r>
      <w:r>
        <w:rPr>
          <w:rFonts w:ascii="仿宋_GB2312" w:hAnsi="仿宋_GB2312" w:eastAsia="仿宋_GB2312" w:cs="仿宋_GB2312"/>
          <w:color w:val="auto"/>
          <w:highlight w:val="none"/>
        </w:rPr>
        <w:t>数量配备相应的人员与车辆</w:t>
      </w:r>
      <w:r>
        <w:rPr>
          <w:rFonts w:ascii="仿宋_GB2312" w:hAnsi="仿宋_GB2312" w:eastAsia="仿宋_GB2312" w:cs="仿宋_GB2312"/>
          <w:highlight w:val="none"/>
        </w:rPr>
        <w:t>，保证养护作业质量。</w:t>
      </w:r>
    </w:p>
    <w:p>
      <w:pPr>
        <w:pStyle w:val="7"/>
        <w:spacing w:after="150"/>
        <w:ind w:firstLine="420"/>
        <w:rPr>
          <w:rFonts w:ascii="仿宋_GB2312" w:hAnsi="仿宋_GB2312" w:eastAsia="仿宋_GB2312" w:cs="仿宋_GB2312"/>
          <w:strike/>
          <w:dstrike w:val="0"/>
          <w:highlight w:val="none"/>
        </w:rPr>
      </w:pPr>
      <w:r>
        <w:rPr>
          <w:rFonts w:ascii="仿宋_GB2312" w:hAnsi="仿宋_GB2312" w:eastAsia="仿宋_GB2312" w:cs="仿宋_GB2312"/>
          <w:highlight w:val="none"/>
        </w:rPr>
        <w:t>9.2若中标人投入的人员、车辆未按</w:t>
      </w:r>
      <w:r>
        <w:rPr>
          <w:rFonts w:hint="eastAsia" w:ascii="仿宋_GB2312" w:hAnsi="仿宋_GB2312" w:eastAsia="仿宋_GB2312" w:cs="仿宋_GB2312"/>
          <w:highlight w:val="none"/>
          <w:lang w:eastAsia="zh-CN"/>
        </w:rPr>
        <w:t>上述</w:t>
      </w:r>
      <w:r>
        <w:rPr>
          <w:rFonts w:ascii="仿宋_GB2312" w:hAnsi="仿宋_GB2312" w:eastAsia="仿宋_GB2312" w:cs="仿宋_GB2312"/>
          <w:highlight w:val="none"/>
        </w:rPr>
        <w:t>第 9.1 条要求足额配齐到位，采购人有权向中标人下发书面整改通知，明确整改完成时限。中标人须在书面通知限定时间内完成全部人员、车辆配置；逾期未完成的，每延期一天，对未到位的车辆每辆</w:t>
      </w:r>
      <w:r>
        <w:rPr>
          <w:rFonts w:hint="eastAsia" w:ascii="仿宋_GB2312" w:hAnsi="仿宋_GB2312" w:eastAsia="仿宋_GB2312" w:cs="仿宋_GB2312"/>
          <w:color w:val="auto"/>
          <w:highlight w:val="none"/>
          <w:lang w:val="en-US" w:eastAsia="zh-CN"/>
        </w:rPr>
        <w:t>扣除养护作业经费</w:t>
      </w:r>
      <w:r>
        <w:rPr>
          <w:rFonts w:ascii="仿宋_GB2312" w:hAnsi="仿宋_GB2312" w:eastAsia="仿宋_GB2312" w:cs="仿宋_GB2312"/>
          <w:color w:val="auto"/>
          <w:highlight w:val="none"/>
        </w:rPr>
        <w:t>2000元</w:t>
      </w:r>
      <w:r>
        <w:rPr>
          <w:rFonts w:ascii="仿宋_GB2312" w:hAnsi="仿宋_GB2312" w:eastAsia="仿宋_GB2312" w:cs="仿宋_GB2312"/>
          <w:color w:val="FF0000"/>
          <w:highlight w:val="none"/>
        </w:rPr>
        <w:t>，</w:t>
      </w:r>
      <w:r>
        <w:rPr>
          <w:rFonts w:ascii="仿宋_GB2312" w:hAnsi="仿宋_GB2312" w:eastAsia="仿宋_GB2312" w:cs="仿宋_GB2312"/>
          <w:highlight w:val="none"/>
        </w:rPr>
        <w:t>对未到位的人员每人</w:t>
      </w:r>
      <w:r>
        <w:rPr>
          <w:rFonts w:hint="eastAsia" w:ascii="仿宋_GB2312" w:hAnsi="仿宋_GB2312" w:eastAsia="仿宋_GB2312" w:cs="仿宋_GB2312"/>
          <w:color w:val="auto"/>
          <w:highlight w:val="none"/>
          <w:lang w:val="en-US" w:eastAsia="zh-CN"/>
        </w:rPr>
        <w:t>扣除养护作业经费300元</w:t>
      </w:r>
      <w:r>
        <w:rPr>
          <w:rFonts w:ascii="仿宋_GB2312" w:hAnsi="仿宋_GB2312" w:eastAsia="仿宋_GB2312" w:cs="仿宋_GB2312"/>
          <w:highlight w:val="none"/>
        </w:rPr>
        <w:t>，若因此给采购人造成损失的，应赔偿采购人所受的损失。</w:t>
      </w:r>
    </w:p>
    <w:p>
      <w:pPr>
        <w:pStyle w:val="7"/>
        <w:spacing w:after="150"/>
        <w:ind w:firstLine="420"/>
        <w:rPr>
          <w:highlight w:val="none"/>
        </w:rPr>
      </w:pPr>
      <w:r>
        <w:rPr>
          <w:rFonts w:ascii="仿宋_GB2312" w:hAnsi="仿宋_GB2312" w:eastAsia="仿宋_GB2312" w:cs="仿宋_GB2312"/>
          <w:highlight w:val="none"/>
        </w:rPr>
        <w:t>9.3中标人在投标文件中承诺的主要管理人员在合同期内发生更换的，接替的人员必需具备同等的专业技术资格；项目负责人或项目技术负责人</w:t>
      </w:r>
      <w:r>
        <w:rPr>
          <w:rFonts w:hint="eastAsia" w:ascii="仿宋_GB2312" w:hAnsi="仿宋_GB2312" w:eastAsia="仿宋_GB2312" w:cs="仿宋_GB2312"/>
          <w:highlight w:val="none"/>
          <w:lang w:eastAsia="zh-CN"/>
        </w:rPr>
        <w:t>发生</w:t>
      </w:r>
      <w:r>
        <w:rPr>
          <w:rFonts w:ascii="仿宋_GB2312" w:hAnsi="仿宋_GB2312" w:eastAsia="仿宋_GB2312" w:cs="仿宋_GB2312"/>
          <w:highlight w:val="none"/>
        </w:rPr>
        <w:t>更换的</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每人次</w:t>
      </w:r>
      <w:r>
        <w:rPr>
          <w:rFonts w:hint="eastAsia" w:ascii="仿宋_GB2312" w:hAnsi="仿宋_GB2312" w:eastAsia="仿宋_GB2312" w:cs="仿宋_GB2312"/>
          <w:color w:val="auto"/>
          <w:highlight w:val="none"/>
          <w:lang w:val="en-US" w:eastAsia="zh-CN"/>
        </w:rPr>
        <w:t>扣除养护作业经费</w:t>
      </w:r>
      <w:r>
        <w:rPr>
          <w:rFonts w:ascii="仿宋_GB2312" w:hAnsi="仿宋_GB2312" w:eastAsia="仿宋_GB2312" w:cs="仿宋_GB2312"/>
          <w:color w:val="auto"/>
          <w:highlight w:val="none"/>
        </w:rPr>
        <w:t>5000元</w:t>
      </w:r>
      <w:r>
        <w:rPr>
          <w:rFonts w:ascii="仿宋_GB2312" w:hAnsi="仿宋_GB2312" w:eastAsia="仿宋_GB2312" w:cs="仿宋_GB2312"/>
          <w:strike w:val="0"/>
          <w:dstrike w:val="0"/>
          <w:highlight w:val="none"/>
        </w:rPr>
        <w:t>。</w:t>
      </w:r>
    </w:p>
    <w:p>
      <w:pPr>
        <w:pStyle w:val="7"/>
        <w:spacing w:after="150"/>
        <w:ind w:firstLine="400" w:firstLineChars="200"/>
        <w:rPr>
          <w:rFonts w:ascii="仿宋_GB2312" w:hAnsi="仿宋_GB2312" w:eastAsia="仿宋_GB2312" w:cs="仿宋_GB2312"/>
          <w:highlight w:val="none"/>
        </w:rPr>
      </w:pPr>
      <w:r>
        <w:rPr>
          <w:rFonts w:ascii="仿宋_GB2312" w:hAnsi="仿宋_GB2312" w:eastAsia="仿宋_GB2312" w:cs="仿宋_GB2312"/>
          <w:highlight w:val="none"/>
        </w:rPr>
        <w:t>★</w:t>
      </w:r>
      <w:r>
        <w:rPr>
          <w:rFonts w:ascii="仿宋_GB2312" w:hAnsi="仿宋_GB2312" w:eastAsia="仿宋_GB2312" w:cs="仿宋_GB2312"/>
          <w:b/>
          <w:highlight w:val="none"/>
        </w:rPr>
        <w:t>10、监督管理和考评：</w:t>
      </w:r>
      <w:r>
        <w:rPr>
          <w:rFonts w:ascii="仿宋_GB2312" w:hAnsi="仿宋_GB2312" w:eastAsia="仿宋_GB2312" w:cs="仿宋_GB2312"/>
          <w:highlight w:val="none"/>
        </w:rPr>
        <w:t xml:space="preserve"> </w:t>
      </w:r>
    </w:p>
    <w:p>
      <w:pPr>
        <w:pStyle w:val="7"/>
        <w:ind w:firstLine="402" w:firstLineChars="200"/>
        <w:jc w:val="both"/>
        <w:rPr>
          <w:rFonts w:ascii="仿宋_GB2312" w:hAnsi="仿宋_GB2312" w:eastAsia="仿宋_GB2312" w:cs="仿宋_GB2312"/>
          <w:strike w:val="0"/>
          <w:dstrike w:val="0"/>
          <w:highlight w:val="none"/>
        </w:rPr>
      </w:pPr>
      <w:r>
        <w:rPr>
          <w:rFonts w:ascii="仿宋_GB2312" w:hAnsi="仿宋_GB2312" w:eastAsia="仿宋_GB2312" w:cs="仿宋_GB2312"/>
          <w:b/>
          <w:strike w:val="0"/>
          <w:dstrike w:val="0"/>
          <w:highlight w:val="none"/>
        </w:rPr>
        <w:t>10.</w:t>
      </w:r>
      <w:r>
        <w:rPr>
          <w:rFonts w:hint="eastAsia" w:ascii="仿宋_GB2312" w:hAnsi="仿宋_GB2312" w:eastAsia="仿宋_GB2312" w:cs="仿宋_GB2312"/>
          <w:b/>
          <w:strike w:val="0"/>
          <w:dstrike w:val="0"/>
          <w:highlight w:val="none"/>
          <w:lang w:val="en-US" w:eastAsia="zh-CN"/>
        </w:rPr>
        <w:t>1</w:t>
      </w:r>
      <w:r>
        <w:rPr>
          <w:rFonts w:hint="eastAsia" w:ascii="仿宋_GB2312" w:hAnsi="仿宋_GB2312" w:eastAsia="仿宋_GB2312" w:cs="仿宋_GB2312"/>
          <w:strike w:val="0"/>
          <w:dstrike w:val="0"/>
          <w:highlight w:val="none"/>
          <w:lang w:val="en-US" w:eastAsia="zh-CN"/>
        </w:rPr>
        <w:t>根据</w:t>
      </w:r>
      <w:r>
        <w:rPr>
          <w:rFonts w:ascii="仿宋_GB2312" w:hAnsi="仿宋_GB2312" w:eastAsia="仿宋_GB2312" w:cs="仿宋_GB2312"/>
          <w:strike w:val="0"/>
          <w:dstrike w:val="0"/>
          <w:highlight w:val="none"/>
        </w:rPr>
        <w:t>《福州市三角梅专项养护考核管理办法》</w:t>
      </w:r>
      <w:r>
        <w:rPr>
          <w:rFonts w:hint="eastAsia" w:ascii="仿宋_GB2312" w:hAnsi="仿宋_GB2312" w:eastAsia="仿宋_GB2312" w:cs="仿宋_GB2312"/>
          <w:strike w:val="0"/>
          <w:dstrike w:val="0"/>
          <w:highlight w:val="none"/>
          <w:lang w:val="en-US" w:eastAsia="zh-CN"/>
        </w:rPr>
        <w:t>进行考核</w:t>
      </w:r>
      <w:r>
        <w:rPr>
          <w:rFonts w:ascii="仿宋_GB2312" w:hAnsi="仿宋_GB2312" w:eastAsia="仿宋_GB2312" w:cs="仿宋_GB2312"/>
          <w:strike w:val="0"/>
          <w:dstrike w:val="0"/>
          <w:highlight w:val="none"/>
        </w:rPr>
        <w:t xml:space="preserve">。 </w:t>
      </w:r>
    </w:p>
    <w:tbl>
      <w:tblPr>
        <w:tblStyle w:val="4"/>
        <w:tblW w:w="0" w:type="auto"/>
        <w:tblInd w:w="99"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82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2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7"/>
              <w:jc w:val="center"/>
              <w:rPr>
                <w:rFonts w:hint="default"/>
                <w:highlight w:val="none"/>
              </w:rPr>
            </w:pPr>
            <w:r>
              <w:rPr>
                <w:rFonts w:ascii="仿宋_GB2312" w:hAnsi="仿宋_GB2312" w:eastAsia="仿宋_GB2312" w:cs="仿宋_GB2312"/>
                <w:b/>
                <w:sz w:val="28"/>
                <w:highlight w:val="none"/>
              </w:rPr>
              <w:t>福州市三角梅专项养护考核管理办法</w:t>
            </w:r>
          </w:p>
          <w:p>
            <w:pPr>
              <w:pStyle w:val="7"/>
              <w:jc w:val="center"/>
              <w:rPr>
                <w:rFonts w:hint="default" w:ascii="仿宋_GB2312" w:hAnsi="仿宋_GB2312" w:eastAsia="仿宋_GB2312" w:cs="仿宋_GB2312"/>
                <w:sz w:val="19"/>
                <w:highlight w:val="none"/>
              </w:rPr>
            </w:pPr>
            <w:r>
              <w:rPr>
                <w:rFonts w:hint="eastAsia" w:ascii="仿宋_GB2312" w:hAnsi="仿宋_GB2312" w:eastAsia="仿宋_GB2312" w:cs="仿宋_GB2312"/>
                <w:sz w:val="19"/>
                <w:highlight w:val="none"/>
                <w:lang w:val="en-US" w:eastAsia="zh-CN"/>
              </w:rPr>
              <w:t>(适用于2026-2027年新增三角梅专项养护)</w:t>
            </w:r>
          </w:p>
          <w:p>
            <w:pPr>
              <w:pStyle w:val="7"/>
              <w:ind w:firstLine="400"/>
              <w:jc w:val="both"/>
              <w:rPr>
                <w:rFonts w:ascii="仿宋_GB2312" w:hAnsi="仿宋_GB2312" w:eastAsia="仿宋_GB2312" w:cs="仿宋_GB2312"/>
                <w:sz w:val="19"/>
                <w:highlight w:val="none"/>
              </w:rPr>
            </w:pPr>
            <w:r>
              <w:rPr>
                <w:rFonts w:hint="eastAsia" w:ascii="仿宋_GB2312" w:hAnsi="仿宋_GB2312" w:eastAsia="仿宋_GB2312" w:cs="仿宋_GB2312"/>
                <w:sz w:val="19"/>
                <w:highlight w:val="none"/>
                <w:lang w:val="en-US" w:eastAsia="zh-Hans"/>
              </w:rPr>
              <w:t>为规范福州市三角梅专项养护质量要求，提高三角梅养护管理水平，保持绿化景观效果，规范</w:t>
            </w:r>
            <w:r>
              <w:rPr>
                <w:rFonts w:hint="eastAsia" w:ascii="仿宋_GB2312" w:hAnsi="仿宋_GB2312" w:eastAsia="仿宋_GB2312" w:cs="仿宋_GB2312"/>
                <w:sz w:val="19"/>
                <w:highlight w:val="none"/>
                <w:lang w:val="en-US" w:eastAsia="zh-CN"/>
              </w:rPr>
              <w:t>三角梅专项</w:t>
            </w:r>
            <w:r>
              <w:rPr>
                <w:rFonts w:hint="eastAsia" w:ascii="仿宋_GB2312" w:hAnsi="仿宋_GB2312" w:eastAsia="仿宋_GB2312" w:cs="仿宋_GB2312"/>
                <w:sz w:val="19"/>
                <w:highlight w:val="none"/>
                <w:lang w:val="en-US" w:eastAsia="zh-Hans"/>
              </w:rPr>
              <w:t>养护作业和考核工作，</w:t>
            </w:r>
            <w:r>
              <w:rPr>
                <w:rFonts w:hint="eastAsia" w:ascii="仿宋_GB2312" w:hAnsi="仿宋_GB2312" w:eastAsia="仿宋_GB2312" w:cs="仿宋_GB2312"/>
                <w:sz w:val="19"/>
                <w:highlight w:val="none"/>
                <w:lang w:val="en-US" w:eastAsia="zh-CN"/>
              </w:rPr>
              <w:t>特</w:t>
            </w:r>
            <w:r>
              <w:rPr>
                <w:rFonts w:hint="eastAsia" w:ascii="仿宋_GB2312" w:hAnsi="仿宋_GB2312" w:eastAsia="仿宋_GB2312" w:cs="仿宋_GB2312"/>
                <w:sz w:val="19"/>
                <w:highlight w:val="none"/>
                <w:lang w:val="en-US" w:eastAsia="zh-Hans"/>
              </w:rPr>
              <w:t>制定本办法。</w:t>
            </w:r>
            <w:r>
              <w:rPr>
                <w:rFonts w:ascii="仿宋_GB2312" w:hAnsi="仿宋_GB2312" w:eastAsia="仿宋_GB2312" w:cs="仿宋_GB2312"/>
                <w:sz w:val="19"/>
                <w:highlight w:val="none"/>
              </w:rPr>
              <w:t xml:space="preserve">    </w:t>
            </w:r>
          </w:p>
          <w:p>
            <w:pPr>
              <w:pStyle w:val="7"/>
              <w:ind w:firstLine="400"/>
              <w:jc w:val="both"/>
              <w:rPr>
                <w:rFonts w:hint="default"/>
                <w:highlight w:val="none"/>
              </w:rPr>
            </w:pPr>
            <w:r>
              <w:rPr>
                <w:rFonts w:ascii="仿宋_GB2312" w:hAnsi="仿宋_GB2312" w:eastAsia="仿宋_GB2312" w:cs="仿宋_GB2312"/>
                <w:b/>
                <w:sz w:val="19"/>
                <w:highlight w:val="none"/>
              </w:rPr>
              <w:t>一、本办法适用于</w:t>
            </w:r>
            <w:r>
              <w:rPr>
                <w:rFonts w:hint="eastAsia" w:ascii="仿宋_GB2312" w:hAnsi="仿宋_GB2312" w:eastAsia="仿宋_GB2312" w:cs="仿宋_GB2312"/>
                <w:sz w:val="19"/>
                <w:highlight w:val="none"/>
                <w:lang w:val="en-US" w:eastAsia="zh-CN"/>
              </w:rPr>
              <w:t>2026-2027年新增三角梅专项养护</w:t>
            </w:r>
            <w:r>
              <w:rPr>
                <w:rFonts w:ascii="仿宋_GB2312" w:hAnsi="仿宋_GB2312" w:eastAsia="仿宋_GB2312" w:cs="仿宋_GB2312"/>
                <w:b/>
                <w:sz w:val="19"/>
                <w:highlight w:val="none"/>
              </w:rPr>
              <w:t>项目的考核，</w:t>
            </w:r>
            <w:r>
              <w:rPr>
                <w:rFonts w:ascii="仿宋_GB2312" w:hAnsi="仿宋_GB2312" w:eastAsia="仿宋_GB2312" w:cs="仿宋_GB2312"/>
                <w:sz w:val="19"/>
                <w:highlight w:val="none"/>
              </w:rPr>
              <w:t>采购人有权根据项目实际情况进行调整和修改。</w:t>
            </w:r>
          </w:p>
          <w:p>
            <w:pPr>
              <w:pStyle w:val="7"/>
              <w:ind w:firstLine="402"/>
              <w:jc w:val="both"/>
              <w:rPr>
                <w:rFonts w:hint="default"/>
                <w:highlight w:val="none"/>
              </w:rPr>
            </w:pPr>
            <w:r>
              <w:rPr>
                <w:rFonts w:ascii="仿宋_GB2312" w:hAnsi="仿宋_GB2312" w:eastAsia="仿宋_GB2312" w:cs="仿宋_GB2312"/>
                <w:b/>
                <w:sz w:val="19"/>
                <w:highlight w:val="none"/>
              </w:rPr>
              <w:t>二、福州市三角梅专项养护由福州市绿化管理处作为业主单位负责组织实施及考核。</w:t>
            </w:r>
          </w:p>
          <w:p>
            <w:pPr>
              <w:pStyle w:val="7"/>
              <w:ind w:firstLine="402"/>
              <w:jc w:val="both"/>
              <w:rPr>
                <w:rFonts w:hint="default"/>
                <w:highlight w:val="none"/>
              </w:rPr>
            </w:pPr>
            <w:r>
              <w:rPr>
                <w:rFonts w:ascii="仿宋_GB2312" w:hAnsi="仿宋_GB2312" w:eastAsia="仿宋_GB2312" w:cs="仿宋_GB2312"/>
                <w:b/>
                <w:sz w:val="19"/>
                <w:highlight w:val="none"/>
              </w:rPr>
              <w:t>三、福州市三角梅专项养护质量考核每3个月开展一次（不含专项检查），由市绿化管理处负责组织，考核结果作为养护费用支付的依据。</w:t>
            </w:r>
          </w:p>
          <w:p>
            <w:pPr>
              <w:pStyle w:val="7"/>
              <w:ind w:firstLine="402"/>
              <w:jc w:val="both"/>
              <w:rPr>
                <w:rFonts w:hint="default"/>
                <w:highlight w:val="none"/>
              </w:rPr>
            </w:pPr>
            <w:r>
              <w:rPr>
                <w:rFonts w:ascii="仿宋_GB2312" w:hAnsi="仿宋_GB2312" w:eastAsia="仿宋_GB2312" w:cs="仿宋_GB2312"/>
                <w:b/>
                <w:sz w:val="19"/>
                <w:highlight w:val="none"/>
              </w:rPr>
              <w:t>四、考核的组织实施</w:t>
            </w:r>
          </w:p>
          <w:p>
            <w:pPr>
              <w:pStyle w:val="7"/>
              <w:ind w:firstLine="400"/>
              <w:jc w:val="both"/>
              <w:rPr>
                <w:rFonts w:hint="default"/>
                <w:highlight w:val="none"/>
              </w:rPr>
            </w:pPr>
            <w:r>
              <w:rPr>
                <w:rFonts w:ascii="仿宋_GB2312" w:hAnsi="仿宋_GB2312" w:eastAsia="仿宋_GB2312" w:cs="仿宋_GB2312"/>
                <w:sz w:val="19"/>
                <w:highlight w:val="none"/>
              </w:rPr>
              <w:t>（1）日常检查为每周不少于1次（节假日除外）；</w:t>
            </w:r>
          </w:p>
          <w:p>
            <w:pPr>
              <w:pStyle w:val="7"/>
              <w:ind w:firstLine="400"/>
              <w:jc w:val="both"/>
              <w:rPr>
                <w:rFonts w:hint="default"/>
                <w:highlight w:val="none"/>
              </w:rPr>
            </w:pPr>
            <w:r>
              <w:rPr>
                <w:rFonts w:ascii="仿宋_GB2312" w:hAnsi="仿宋_GB2312" w:eastAsia="仿宋_GB2312" w:cs="仿宋_GB2312"/>
                <w:sz w:val="19"/>
                <w:highlight w:val="none"/>
              </w:rPr>
              <w:t>（2）市绿化管理处的季度考核为每3个月一次。</w:t>
            </w:r>
          </w:p>
          <w:p>
            <w:pPr>
              <w:pStyle w:val="7"/>
              <w:ind w:firstLine="402"/>
              <w:jc w:val="both"/>
              <w:rPr>
                <w:rFonts w:hint="default"/>
                <w:highlight w:val="none"/>
              </w:rPr>
            </w:pPr>
            <w:r>
              <w:rPr>
                <w:rFonts w:ascii="仿宋_GB2312" w:hAnsi="仿宋_GB2312" w:eastAsia="仿宋_GB2312" w:cs="仿宋_GB2312"/>
                <w:b/>
                <w:sz w:val="19"/>
                <w:highlight w:val="none"/>
              </w:rPr>
              <w:t>五、考核和扣款标准</w:t>
            </w:r>
          </w:p>
          <w:p>
            <w:pPr>
              <w:pStyle w:val="7"/>
              <w:ind w:firstLine="400"/>
              <w:jc w:val="both"/>
              <w:rPr>
                <w:rFonts w:hint="default"/>
                <w:highlight w:val="none"/>
              </w:rPr>
            </w:pPr>
            <w:r>
              <w:rPr>
                <w:rFonts w:ascii="仿宋_GB2312" w:hAnsi="仿宋_GB2312" w:eastAsia="仿宋_GB2312" w:cs="仿宋_GB2312"/>
                <w:sz w:val="19"/>
                <w:highlight w:val="none"/>
              </w:rPr>
              <w:t>1.福州市三角梅专项养护日常检查扣款细则 （见附表）</w:t>
            </w:r>
          </w:p>
          <w:p>
            <w:pPr>
              <w:pStyle w:val="7"/>
              <w:ind w:firstLine="400"/>
              <w:jc w:val="both"/>
              <w:rPr>
                <w:rFonts w:hint="default"/>
                <w:highlight w:val="none"/>
              </w:rPr>
            </w:pPr>
            <w:r>
              <w:rPr>
                <w:rFonts w:ascii="仿宋_GB2312" w:hAnsi="仿宋_GB2312" w:eastAsia="仿宋_GB2312" w:cs="仿宋_GB2312"/>
                <w:sz w:val="19"/>
                <w:highlight w:val="none"/>
              </w:rPr>
              <w:t>2.福州市三角梅专项养护季度考评表（见附表）</w:t>
            </w:r>
          </w:p>
          <w:p>
            <w:pPr>
              <w:pStyle w:val="7"/>
              <w:ind w:firstLine="400"/>
              <w:jc w:val="both"/>
              <w:rPr>
                <w:rFonts w:hint="default"/>
                <w:highlight w:val="none"/>
              </w:rPr>
            </w:pPr>
            <w:r>
              <w:rPr>
                <w:rFonts w:ascii="仿宋_GB2312" w:hAnsi="仿宋_GB2312" w:eastAsia="仿宋_GB2312" w:cs="仿宋_GB2312"/>
                <w:sz w:val="19"/>
                <w:highlight w:val="none"/>
              </w:rPr>
              <w:t>扣款说明：</w:t>
            </w:r>
          </w:p>
          <w:p>
            <w:pPr>
              <w:pStyle w:val="7"/>
              <w:ind w:firstLine="400"/>
              <w:jc w:val="both"/>
              <w:rPr>
                <w:rFonts w:hint="default"/>
                <w:highlight w:val="none"/>
              </w:rPr>
            </w:pPr>
            <w:r>
              <w:rPr>
                <w:rFonts w:ascii="仿宋_GB2312" w:hAnsi="仿宋_GB2312" w:eastAsia="仿宋_GB2312" w:cs="仿宋_GB2312"/>
                <w:sz w:val="19"/>
                <w:highlight w:val="none"/>
              </w:rPr>
              <w:t>A:95分≤平均分≤100分的为优秀，不扣作业经费。</w:t>
            </w:r>
          </w:p>
          <w:p>
            <w:pPr>
              <w:pStyle w:val="7"/>
              <w:ind w:firstLine="400"/>
              <w:jc w:val="both"/>
              <w:rPr>
                <w:rFonts w:hint="default"/>
                <w:highlight w:val="none"/>
              </w:rPr>
            </w:pPr>
            <w:r>
              <w:rPr>
                <w:rFonts w:ascii="仿宋_GB2312" w:hAnsi="仿宋_GB2312" w:eastAsia="仿宋_GB2312" w:cs="仿宋_GB2312"/>
                <w:sz w:val="19"/>
                <w:highlight w:val="none"/>
              </w:rPr>
              <w:t>B:90分≤平均分＜95分的，按照每低于95分，每1分扣除季度作业经费1万元。</w:t>
            </w:r>
          </w:p>
          <w:p>
            <w:pPr>
              <w:pStyle w:val="7"/>
              <w:ind w:firstLine="400"/>
              <w:jc w:val="both"/>
              <w:rPr>
                <w:rFonts w:hint="default"/>
                <w:highlight w:val="none"/>
              </w:rPr>
            </w:pPr>
            <w:r>
              <w:rPr>
                <w:rFonts w:ascii="仿宋_GB2312" w:hAnsi="仿宋_GB2312" w:eastAsia="仿宋_GB2312" w:cs="仿宋_GB2312"/>
                <w:sz w:val="19"/>
                <w:highlight w:val="none"/>
              </w:rPr>
              <w:t>C：85分≤平均分＜90分的，按照每低于90分，每1分扣除季度作业经费2万元。</w:t>
            </w:r>
          </w:p>
          <w:p>
            <w:pPr>
              <w:pStyle w:val="7"/>
              <w:ind w:firstLine="400"/>
              <w:jc w:val="both"/>
              <w:rPr>
                <w:rFonts w:hint="default"/>
                <w:highlight w:val="none"/>
              </w:rPr>
            </w:pPr>
            <w:r>
              <w:rPr>
                <w:rFonts w:ascii="仿宋_GB2312" w:hAnsi="仿宋_GB2312" w:eastAsia="仿宋_GB2312" w:cs="仿宋_GB2312"/>
                <w:sz w:val="19"/>
                <w:highlight w:val="none"/>
              </w:rPr>
              <w:t>D：对于季度平均得分在85以下的，除按照每低1分扣除季度作业经费2万元外，再下发整改通知书要求限期整改，并通报批评。</w:t>
            </w:r>
          </w:p>
          <w:p>
            <w:pPr>
              <w:pStyle w:val="7"/>
              <w:ind w:firstLine="400"/>
              <w:jc w:val="both"/>
              <w:rPr>
                <w:rFonts w:hint="default"/>
                <w:highlight w:val="none"/>
              </w:rPr>
            </w:pPr>
            <w:r>
              <w:rPr>
                <w:rFonts w:ascii="仿宋_GB2312" w:hAnsi="仿宋_GB2312" w:eastAsia="仿宋_GB2312" w:cs="仿宋_GB2312"/>
                <w:sz w:val="19"/>
                <w:highlight w:val="none"/>
              </w:rPr>
              <w:t>E：每12个月季度考评平均分累计两次在85分以下的，采购人有权要求更换项目负责人或技术负责人，除支付更换的违约金外，再扣款10万元，从季度作业经费中扣除。</w:t>
            </w:r>
          </w:p>
          <w:p>
            <w:pPr>
              <w:pStyle w:val="7"/>
              <w:ind w:firstLine="400"/>
              <w:jc w:val="both"/>
              <w:rPr>
                <w:rFonts w:hint="default"/>
                <w:highlight w:val="none"/>
              </w:rPr>
            </w:pPr>
            <w:r>
              <w:rPr>
                <w:rFonts w:ascii="仿宋_GB2312" w:hAnsi="仿宋_GB2312" w:eastAsia="仿宋_GB2312" w:cs="仿宋_GB2312"/>
                <w:sz w:val="19"/>
                <w:highlight w:val="none"/>
              </w:rPr>
              <w:t>3.数字城管办理过程中出现以下情况，按以下规定时间进行处理：(1)超期处置案件：每一起扣款1000元；(2)延期处置案件：每一起扣款1000元；(3)返工件：每一起扣款1000元；(4)办理中心绿化处指派兜底处置案件，每一起按200元由处置单位包干使用，未按照处置的，每一起扣款500元。</w:t>
            </w:r>
          </w:p>
          <w:p>
            <w:pPr>
              <w:pStyle w:val="7"/>
              <w:ind w:firstLine="402"/>
              <w:jc w:val="both"/>
              <w:rPr>
                <w:rFonts w:hint="default"/>
                <w:highlight w:val="none"/>
              </w:rPr>
            </w:pPr>
            <w:r>
              <w:rPr>
                <w:rFonts w:ascii="仿宋_GB2312" w:hAnsi="仿宋_GB2312" w:eastAsia="仿宋_GB2312" w:cs="仿宋_GB2312"/>
                <w:b/>
                <w:sz w:val="19"/>
                <w:highlight w:val="none"/>
              </w:rPr>
              <w:t>六、其它类型的扣款</w:t>
            </w:r>
          </w:p>
          <w:p>
            <w:pPr>
              <w:pStyle w:val="7"/>
              <w:ind w:firstLine="400"/>
              <w:jc w:val="both"/>
              <w:rPr>
                <w:rFonts w:hint="default"/>
                <w:highlight w:val="none"/>
              </w:rPr>
            </w:pPr>
            <w:r>
              <w:rPr>
                <w:rFonts w:ascii="仿宋_GB2312" w:hAnsi="仿宋_GB2312" w:eastAsia="仿宋_GB2312" w:cs="仿宋_GB2312"/>
                <w:sz w:val="19"/>
                <w:highlight w:val="none"/>
              </w:rPr>
              <w:t>由于养护不文明或管养不善而被有关部门批评或投诉，经核查属实的，按如下标准扣款：</w:t>
            </w:r>
          </w:p>
          <w:p>
            <w:pPr>
              <w:pStyle w:val="7"/>
              <w:ind w:firstLine="400"/>
              <w:jc w:val="both"/>
              <w:rPr>
                <w:rFonts w:hint="default"/>
                <w:highlight w:val="none"/>
              </w:rPr>
            </w:pPr>
            <w:r>
              <w:rPr>
                <w:rFonts w:ascii="仿宋_GB2312" w:hAnsi="仿宋_GB2312" w:eastAsia="仿宋_GB2312" w:cs="仿宋_GB2312"/>
                <w:sz w:val="19"/>
                <w:highlight w:val="none"/>
              </w:rPr>
              <w:t>1、中标人在接到采购人日常养护临时应急处置任务后，应在1小时内到场进行处置，未在规定时间到达现场的，每次扣500元。</w:t>
            </w:r>
          </w:p>
          <w:p>
            <w:pPr>
              <w:pStyle w:val="7"/>
              <w:ind w:firstLine="400"/>
              <w:jc w:val="both"/>
              <w:rPr>
                <w:rFonts w:hint="default"/>
                <w:highlight w:val="none"/>
              </w:rPr>
            </w:pPr>
            <w:r>
              <w:rPr>
                <w:rFonts w:ascii="仿宋_GB2312" w:hAnsi="仿宋_GB2312" w:eastAsia="仿宋_GB2312" w:cs="仿宋_GB2312"/>
                <w:sz w:val="19"/>
                <w:highlight w:val="none"/>
              </w:rPr>
              <w:t>2、应按要求完成省、市政府及市园林中心布置的应急性、阶段性任务（含非养护范围的），未在规定时限内处置的，每起扣1000元；造成不良影响的，每起扣1万元。</w:t>
            </w:r>
          </w:p>
          <w:p>
            <w:pPr>
              <w:pStyle w:val="7"/>
              <w:ind w:firstLine="400"/>
              <w:jc w:val="both"/>
              <w:rPr>
                <w:rFonts w:hint="default"/>
                <w:highlight w:val="none"/>
              </w:rPr>
            </w:pPr>
            <w:r>
              <w:rPr>
                <w:rFonts w:ascii="仿宋_GB2312" w:hAnsi="仿宋_GB2312" w:eastAsia="仿宋_GB2312" w:cs="仿宋_GB2312"/>
                <w:sz w:val="19"/>
                <w:highlight w:val="none"/>
              </w:rPr>
              <w:t>3、业主书面通知整改的，养护企业未及时整改或未整改到位的，每次扣5000元。</w:t>
            </w:r>
          </w:p>
          <w:p>
            <w:pPr>
              <w:pStyle w:val="7"/>
              <w:ind w:firstLine="400"/>
              <w:jc w:val="both"/>
              <w:rPr>
                <w:rFonts w:hint="default"/>
                <w:highlight w:val="none"/>
              </w:rPr>
            </w:pPr>
            <w:r>
              <w:rPr>
                <w:rFonts w:ascii="仿宋_GB2312" w:hAnsi="仿宋_GB2312" w:eastAsia="仿宋_GB2312" w:cs="仿宋_GB2312"/>
                <w:sz w:val="19"/>
                <w:highlight w:val="none"/>
              </w:rPr>
              <w:t>4、因养护不到位被省、市政府园林主管部门书面通报的，依据《福州市三角梅专项养护考核管理办法》相应标准予以扣款。</w:t>
            </w:r>
          </w:p>
          <w:p>
            <w:pPr>
              <w:pStyle w:val="7"/>
              <w:ind w:firstLine="400"/>
              <w:jc w:val="both"/>
              <w:rPr>
                <w:rFonts w:hint="default"/>
                <w:highlight w:val="none"/>
              </w:rPr>
            </w:pPr>
            <w:r>
              <w:rPr>
                <w:rFonts w:ascii="仿宋_GB2312" w:hAnsi="仿宋_GB2312" w:eastAsia="仿宋_GB2312" w:cs="仿宋_GB2312"/>
                <w:sz w:val="19"/>
                <w:highlight w:val="none"/>
              </w:rPr>
              <w:t>5、因重要会议、重要节点、各类检查保障不力的，被省、市政府其他部门书面通报的问题，按一般通报每起扣1万元、挂黄牌每起扣5万元、挂红牌每起扣10万元进行扣款。</w:t>
            </w:r>
          </w:p>
          <w:p>
            <w:pPr>
              <w:pStyle w:val="7"/>
              <w:ind w:firstLine="400"/>
              <w:jc w:val="both"/>
              <w:rPr>
                <w:rFonts w:hint="default"/>
                <w:color w:val="auto"/>
                <w:highlight w:val="none"/>
              </w:rPr>
            </w:pPr>
            <w:r>
              <w:rPr>
                <w:rFonts w:ascii="仿宋_GB2312" w:hAnsi="仿宋_GB2312" w:eastAsia="仿宋_GB2312" w:cs="仿宋_GB2312"/>
                <w:color w:val="auto"/>
                <w:sz w:val="19"/>
                <w:highlight w:val="none"/>
                <w:lang w:eastAsia="zh-CN"/>
              </w:rPr>
              <w:t>6</w:t>
            </w:r>
            <w:r>
              <w:rPr>
                <w:rFonts w:ascii="仿宋_GB2312" w:hAnsi="仿宋_GB2312" w:eastAsia="仿宋_GB2312" w:cs="仿宋_GB2312"/>
                <w:color w:val="auto"/>
                <w:sz w:val="19"/>
                <w:highlight w:val="none"/>
              </w:rPr>
              <w:t>、中标人在投标文件技术和商务评分条款中承诺得分，但中标后未兑现承诺的：</w:t>
            </w:r>
          </w:p>
          <w:p>
            <w:pPr>
              <w:pStyle w:val="7"/>
              <w:ind w:firstLine="400"/>
              <w:jc w:val="both"/>
              <w:rPr>
                <w:rFonts w:hint="default"/>
                <w:color w:val="auto"/>
                <w:highlight w:val="none"/>
              </w:rPr>
            </w:pPr>
            <w:r>
              <w:rPr>
                <w:rFonts w:ascii="仿宋_GB2312" w:hAnsi="仿宋_GB2312" w:eastAsia="仿宋_GB2312" w:cs="仿宋_GB2312"/>
                <w:color w:val="auto"/>
                <w:sz w:val="19"/>
                <w:highlight w:val="none"/>
                <w:lang w:eastAsia="zh-CN"/>
              </w:rPr>
              <w:t>6.1</w:t>
            </w:r>
            <w:r>
              <w:rPr>
                <w:rFonts w:ascii="仿宋_GB2312" w:hAnsi="仿宋_GB2312" w:eastAsia="仿宋_GB2312" w:cs="仿宋_GB2312"/>
                <w:color w:val="auto"/>
                <w:sz w:val="19"/>
                <w:highlight w:val="none"/>
              </w:rPr>
              <w:t>在中标后60天内，中标人未兑现（</w:t>
            </w:r>
            <w:r>
              <w:rPr>
                <w:rFonts w:ascii="仿宋_GB2312" w:hAnsi="仿宋_GB2312" w:eastAsia="仿宋_GB2312" w:cs="仿宋_GB2312"/>
                <w:b/>
                <w:color w:val="auto"/>
                <w:sz w:val="19"/>
                <w:highlight w:val="none"/>
              </w:rPr>
              <w:t>采购文件商务项1</w:t>
            </w:r>
            <w:r>
              <w:rPr>
                <w:rFonts w:ascii="仿宋_GB2312" w:hAnsi="仿宋_GB2312" w:eastAsia="仿宋_GB2312" w:cs="仿宋_GB2312"/>
                <w:color w:val="auto"/>
                <w:sz w:val="19"/>
                <w:highlight w:val="none"/>
              </w:rPr>
              <w:t>）承诺购买人身意外保险(包括意外险或雇主责任险)的，扣除作业经费</w:t>
            </w:r>
            <w:r>
              <w:rPr>
                <w:rFonts w:ascii="仿宋_GB2312" w:hAnsi="仿宋_GB2312" w:eastAsia="仿宋_GB2312" w:cs="仿宋_GB2312"/>
                <w:color w:val="auto"/>
                <w:sz w:val="19"/>
                <w:highlight w:val="none"/>
                <w:lang w:eastAsia="zh-CN"/>
              </w:rPr>
              <w:t>3000</w:t>
            </w:r>
            <w:r>
              <w:rPr>
                <w:rFonts w:ascii="仿宋_GB2312" w:hAnsi="仿宋_GB2312" w:eastAsia="仿宋_GB2312" w:cs="仿宋_GB2312"/>
                <w:color w:val="auto"/>
                <w:sz w:val="19"/>
                <w:highlight w:val="none"/>
              </w:rPr>
              <w:t>元。</w:t>
            </w:r>
          </w:p>
          <w:p>
            <w:pPr>
              <w:pStyle w:val="7"/>
              <w:ind w:firstLine="400"/>
              <w:jc w:val="both"/>
              <w:rPr>
                <w:rFonts w:hint="default"/>
                <w:highlight w:val="none"/>
              </w:rPr>
            </w:pPr>
            <w:r>
              <w:rPr>
                <w:rFonts w:ascii="仿宋_GB2312" w:hAnsi="仿宋_GB2312" w:eastAsia="仿宋_GB2312" w:cs="仿宋_GB2312"/>
                <w:color w:val="auto"/>
                <w:sz w:val="19"/>
                <w:highlight w:val="none"/>
                <w:lang w:eastAsia="zh-CN"/>
              </w:rPr>
              <w:t>6.2</w:t>
            </w:r>
            <w:r>
              <w:rPr>
                <w:rFonts w:ascii="仿宋_GB2312" w:hAnsi="仿宋_GB2312" w:eastAsia="仿宋_GB2312" w:cs="仿宋_GB2312"/>
                <w:color w:val="auto"/>
                <w:sz w:val="19"/>
                <w:highlight w:val="none"/>
              </w:rPr>
              <w:t>中标人未</w:t>
            </w:r>
            <w:r>
              <w:rPr>
                <w:rFonts w:ascii="仿宋_GB2312" w:hAnsi="仿宋_GB2312" w:eastAsia="仿宋_GB2312" w:cs="仿宋_GB2312"/>
                <w:strike w:val="0"/>
                <w:dstrike w:val="0"/>
                <w:color w:val="auto"/>
                <w:sz w:val="19"/>
                <w:highlight w:val="none"/>
              </w:rPr>
              <w:t>兑现</w:t>
            </w:r>
            <w:r>
              <w:rPr>
                <w:rFonts w:ascii="仿宋_GB2312" w:hAnsi="仿宋_GB2312" w:eastAsia="仿宋_GB2312" w:cs="仿宋_GB2312"/>
                <w:color w:val="auto"/>
                <w:sz w:val="19"/>
                <w:highlight w:val="none"/>
              </w:rPr>
              <w:t>（</w:t>
            </w:r>
            <w:r>
              <w:rPr>
                <w:rFonts w:ascii="仿宋_GB2312" w:hAnsi="仿宋_GB2312" w:eastAsia="仿宋_GB2312" w:cs="仿宋_GB2312"/>
                <w:b/>
                <w:color w:val="auto"/>
                <w:sz w:val="19"/>
                <w:highlight w:val="none"/>
              </w:rPr>
              <w:t>采购文件商务项6</w:t>
            </w:r>
            <w:r>
              <w:rPr>
                <w:rFonts w:ascii="仿宋_GB2312" w:hAnsi="仿宋_GB2312" w:eastAsia="仿宋_GB2312" w:cs="仿宋_GB2312"/>
                <w:color w:val="auto"/>
                <w:sz w:val="19"/>
                <w:highlight w:val="none"/>
              </w:rPr>
              <w:t>）</w:t>
            </w:r>
            <w:r>
              <w:rPr>
                <w:rFonts w:hint="eastAsia" w:ascii="仿宋_GB2312" w:hAnsi="仿宋_GB2312" w:eastAsia="仿宋_GB2312" w:cs="仿宋_GB2312"/>
                <w:strike w:val="0"/>
                <w:dstrike w:val="0"/>
                <w:color w:val="auto"/>
                <w:sz w:val="19"/>
                <w:highlight w:val="none"/>
                <w:lang w:val="en-US" w:eastAsia="zh-CN"/>
              </w:rPr>
              <w:t>承</w:t>
            </w:r>
            <w:r>
              <w:rPr>
                <w:rFonts w:hint="eastAsia" w:ascii="仿宋_GB2312" w:hAnsi="仿宋_GB2312" w:eastAsia="仿宋_GB2312" w:cs="仿宋_GB2312"/>
                <w:strike w:val="0"/>
                <w:dstrike w:val="0"/>
                <w:sz w:val="19"/>
                <w:highlight w:val="none"/>
                <w:lang w:val="en-US" w:eastAsia="zh-CN"/>
              </w:rPr>
              <w:t>诺</w:t>
            </w:r>
            <w:r>
              <w:rPr>
                <w:rFonts w:ascii="仿宋_GB2312" w:hAnsi="仿宋_GB2312" w:eastAsia="仿宋_GB2312" w:cs="仿宋_GB2312"/>
                <w:strike w:val="0"/>
                <w:dstrike w:val="0"/>
                <w:sz w:val="19"/>
                <w:highlight w:val="none"/>
              </w:rPr>
              <w:t>响应时间</w:t>
            </w:r>
            <w:r>
              <w:rPr>
                <w:rFonts w:ascii="仿宋_GB2312" w:hAnsi="仿宋_GB2312" w:eastAsia="仿宋_GB2312" w:cs="仿宋_GB2312"/>
                <w:sz w:val="19"/>
                <w:highlight w:val="none"/>
              </w:rPr>
              <w:t>到现场处理的，每次扣除作业经费1000元。</w:t>
            </w:r>
          </w:p>
          <w:p>
            <w:pPr>
              <w:pStyle w:val="7"/>
              <w:ind w:firstLine="402"/>
              <w:jc w:val="both"/>
              <w:rPr>
                <w:rFonts w:hint="default"/>
                <w:highlight w:val="none"/>
              </w:rPr>
            </w:pPr>
            <w:r>
              <w:rPr>
                <w:rFonts w:ascii="仿宋_GB2312" w:hAnsi="仿宋_GB2312" w:eastAsia="仿宋_GB2312" w:cs="仿宋_GB2312"/>
                <w:b/>
                <w:sz w:val="19"/>
                <w:highlight w:val="none"/>
              </w:rPr>
              <w:t>上述，1-</w:t>
            </w:r>
            <w:r>
              <w:rPr>
                <w:rFonts w:hint="eastAsia" w:ascii="仿宋_GB2312" w:hAnsi="仿宋_GB2312" w:eastAsia="仿宋_GB2312" w:cs="仿宋_GB2312"/>
                <w:b/>
                <w:sz w:val="19"/>
                <w:highlight w:val="none"/>
                <w:lang w:val="en-US" w:eastAsia="zh-CN"/>
              </w:rPr>
              <w:t>6</w:t>
            </w:r>
            <w:r>
              <w:rPr>
                <w:rFonts w:ascii="仿宋_GB2312" w:hAnsi="仿宋_GB2312" w:eastAsia="仿宋_GB2312" w:cs="仿宋_GB2312"/>
                <w:b/>
                <w:sz w:val="19"/>
                <w:highlight w:val="none"/>
              </w:rPr>
              <w:t>所有扣款均从当季度的养护经费中扣除。</w:t>
            </w:r>
          </w:p>
          <w:p>
            <w:pPr>
              <w:pStyle w:val="7"/>
              <w:ind w:firstLine="402"/>
              <w:jc w:val="both"/>
              <w:rPr>
                <w:rFonts w:hint="default"/>
                <w:highlight w:val="none"/>
              </w:rPr>
            </w:pPr>
            <w:r>
              <w:rPr>
                <w:rFonts w:ascii="仿宋_GB2312" w:hAnsi="仿宋_GB2312" w:eastAsia="仿宋_GB2312" w:cs="仿宋_GB2312"/>
                <w:b/>
                <w:sz w:val="19"/>
                <w:highlight w:val="none"/>
              </w:rPr>
              <w:t>七、养护企业的同一个不良养护行为违反以上规定中的两条或两条以上规定的，按金额最高的扣款条款进行扣款。</w:t>
            </w:r>
          </w:p>
          <w:p>
            <w:pPr>
              <w:pStyle w:val="7"/>
              <w:ind w:firstLine="402"/>
              <w:jc w:val="both"/>
              <w:rPr>
                <w:rFonts w:hint="default"/>
                <w:highlight w:val="none"/>
              </w:rPr>
            </w:pPr>
            <w:r>
              <w:rPr>
                <w:rFonts w:ascii="仿宋_GB2312" w:hAnsi="仿宋_GB2312" w:eastAsia="仿宋_GB2312" w:cs="仿宋_GB2312"/>
                <w:b/>
                <w:sz w:val="19"/>
                <w:highlight w:val="none"/>
              </w:rPr>
              <w:t>八、本办法由市绿化管理处负责解释，并可根据上级部门的要求和相关法规、规定和技术规范进行调整。</w:t>
            </w:r>
          </w:p>
          <w:p>
            <w:pPr>
              <w:pStyle w:val="7"/>
              <w:spacing w:after="150"/>
              <w:ind w:firstLine="420"/>
              <w:rPr>
                <w:rFonts w:hint="default"/>
                <w:highlight w:val="none"/>
              </w:rPr>
            </w:pPr>
            <w:r>
              <w:rPr>
                <w:rFonts w:ascii="仿宋_GB2312" w:hAnsi="仿宋_GB2312" w:eastAsia="仿宋_GB2312" w:cs="仿宋_GB2312"/>
                <w:b/>
                <w:sz w:val="19"/>
                <w:highlight w:val="none"/>
              </w:rPr>
              <w:t>九、本办法自“</w:t>
            </w:r>
            <w:r>
              <w:rPr>
                <w:rFonts w:hint="eastAsia" w:ascii="仿宋_GB2312" w:hAnsi="仿宋_GB2312" w:eastAsia="仿宋_GB2312" w:cs="仿宋_GB2312"/>
                <w:sz w:val="19"/>
                <w:highlight w:val="none"/>
                <w:lang w:val="en-US" w:eastAsia="zh-CN"/>
              </w:rPr>
              <w:t>2026-2027年新增三角梅专项养护</w:t>
            </w:r>
            <w:r>
              <w:rPr>
                <w:rFonts w:ascii="仿宋_GB2312" w:hAnsi="仿宋_GB2312" w:eastAsia="仿宋_GB2312" w:cs="仿宋_GB2312"/>
                <w:b/>
                <w:sz w:val="19"/>
                <w:highlight w:val="none"/>
              </w:rPr>
              <w:t>”项目的中标单位进场养护之日起开始施行。</w:t>
            </w:r>
          </w:p>
        </w:tc>
      </w:tr>
    </w:tbl>
    <w:p>
      <w:pPr>
        <w:pStyle w:val="7"/>
        <w:jc w:val="both"/>
        <w:rPr>
          <w:rFonts w:ascii="仿宋_GB2312" w:hAnsi="仿宋_GB2312" w:eastAsia="仿宋_GB2312" w:cs="仿宋_GB2312"/>
          <w:sz w:val="33"/>
          <w:highlight w:val="none"/>
          <w:shd w:val="clear" w:fill="FFFFFF"/>
        </w:rPr>
      </w:pPr>
    </w:p>
    <w:tbl>
      <w:tblPr>
        <w:tblStyle w:val="4"/>
        <w:tblW w:w="0" w:type="auto"/>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4194"/>
        <w:gridCol w:w="1092"/>
        <w:gridCol w:w="1964"/>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520" w:type="dxa"/>
            <w:gridSpan w:val="5"/>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b/>
                <w:sz w:val="28"/>
                <w:highlight w:val="none"/>
              </w:rPr>
              <w:t>福州市三角梅专项养护日常检查扣款细则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39"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序号</w:t>
            </w:r>
          </w:p>
        </w:tc>
        <w:tc>
          <w:tcPr>
            <w:tcW w:w="4194"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highlight w:val="none"/>
              </w:rPr>
              <w:t>检查内容</w:t>
            </w:r>
          </w:p>
        </w:tc>
        <w:tc>
          <w:tcPr>
            <w:tcW w:w="1092"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highlight w:val="none"/>
              </w:rPr>
              <w:t>单位</w:t>
            </w:r>
          </w:p>
        </w:tc>
        <w:tc>
          <w:tcPr>
            <w:tcW w:w="1964"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highlight w:val="none"/>
              </w:rPr>
              <w:t>检查发现阶段扣款（元）</w:t>
            </w:r>
          </w:p>
        </w:tc>
        <w:tc>
          <w:tcPr>
            <w:tcW w:w="1631"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highlight w:val="none"/>
              </w:rPr>
              <w:t>复查阶段扣款（元）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39"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1</w:t>
            </w:r>
          </w:p>
        </w:tc>
        <w:tc>
          <w:tcPr>
            <w:tcW w:w="4194" w:type="dxa"/>
            <w:tcMar>
              <w:top w:w="15" w:type="dxa"/>
              <w:left w:w="15" w:type="dxa"/>
              <w:bottom w:w="0" w:type="dxa"/>
              <w:right w:w="15" w:type="dxa"/>
            </w:tcMar>
          </w:tcPr>
          <w:p>
            <w:pPr>
              <w:pStyle w:val="7"/>
              <w:rPr>
                <w:rFonts w:hint="default"/>
                <w:highlight w:val="none"/>
              </w:rPr>
            </w:pPr>
            <w:r>
              <w:rPr>
                <w:rFonts w:ascii="仿宋_GB2312" w:hAnsi="仿宋_GB2312" w:eastAsia="仿宋_GB2312" w:cs="仿宋_GB2312"/>
                <w:sz w:val="19"/>
                <w:highlight w:val="none"/>
              </w:rPr>
              <w:t>作业时不按要求穿戴反光袖或工作服的</w:t>
            </w:r>
          </w:p>
        </w:tc>
        <w:tc>
          <w:tcPr>
            <w:tcW w:w="1092"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每人次</w:t>
            </w:r>
          </w:p>
        </w:tc>
        <w:tc>
          <w:tcPr>
            <w:tcW w:w="1964"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50</w:t>
            </w:r>
          </w:p>
        </w:tc>
        <w:tc>
          <w:tcPr>
            <w:tcW w:w="1631"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39"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2</w:t>
            </w:r>
          </w:p>
        </w:tc>
        <w:tc>
          <w:tcPr>
            <w:tcW w:w="4194" w:type="dxa"/>
            <w:tcMar>
              <w:top w:w="15" w:type="dxa"/>
              <w:left w:w="15" w:type="dxa"/>
              <w:bottom w:w="0" w:type="dxa"/>
              <w:right w:w="15" w:type="dxa"/>
            </w:tcMar>
          </w:tcPr>
          <w:p>
            <w:pPr>
              <w:pStyle w:val="7"/>
              <w:rPr>
                <w:rFonts w:hint="default"/>
                <w:highlight w:val="none"/>
              </w:rPr>
            </w:pPr>
            <w:r>
              <w:rPr>
                <w:rFonts w:ascii="仿宋_GB2312" w:hAnsi="仿宋_GB2312" w:eastAsia="仿宋_GB2312" w:cs="仿宋_GB2312"/>
                <w:sz w:val="19"/>
                <w:highlight w:val="none"/>
              </w:rPr>
              <w:t>违反安全规范，如：安全措施不规范、无专职安全员等</w:t>
            </w:r>
          </w:p>
        </w:tc>
        <w:tc>
          <w:tcPr>
            <w:tcW w:w="1092"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每次</w:t>
            </w:r>
          </w:p>
        </w:tc>
        <w:tc>
          <w:tcPr>
            <w:tcW w:w="1964"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500</w:t>
            </w:r>
          </w:p>
        </w:tc>
        <w:tc>
          <w:tcPr>
            <w:tcW w:w="1631"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39"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3</w:t>
            </w:r>
          </w:p>
        </w:tc>
        <w:tc>
          <w:tcPr>
            <w:tcW w:w="4194" w:type="dxa"/>
            <w:tcMar>
              <w:top w:w="15" w:type="dxa"/>
              <w:left w:w="15" w:type="dxa"/>
              <w:bottom w:w="0" w:type="dxa"/>
              <w:right w:w="15" w:type="dxa"/>
            </w:tcMar>
          </w:tcPr>
          <w:p>
            <w:pPr>
              <w:pStyle w:val="7"/>
              <w:rPr>
                <w:rFonts w:hint="default"/>
                <w:highlight w:val="none"/>
              </w:rPr>
            </w:pPr>
            <w:r>
              <w:rPr>
                <w:rFonts w:ascii="仿宋_GB2312" w:hAnsi="仿宋_GB2312" w:eastAsia="仿宋_GB2312" w:cs="仿宋_GB2312"/>
                <w:sz w:val="19"/>
                <w:highlight w:val="none"/>
              </w:rPr>
              <w:t>养护作业不规范，如违反交通规定高峰期上路作业</w:t>
            </w:r>
          </w:p>
        </w:tc>
        <w:tc>
          <w:tcPr>
            <w:tcW w:w="1092"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每次</w:t>
            </w:r>
          </w:p>
        </w:tc>
        <w:tc>
          <w:tcPr>
            <w:tcW w:w="1964"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500</w:t>
            </w:r>
          </w:p>
        </w:tc>
        <w:tc>
          <w:tcPr>
            <w:tcW w:w="1631"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39"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4</w:t>
            </w:r>
          </w:p>
        </w:tc>
        <w:tc>
          <w:tcPr>
            <w:tcW w:w="4194" w:type="dxa"/>
            <w:tcMar>
              <w:top w:w="15" w:type="dxa"/>
              <w:left w:w="15" w:type="dxa"/>
              <w:bottom w:w="0" w:type="dxa"/>
              <w:right w:w="15" w:type="dxa"/>
            </w:tcMar>
          </w:tcPr>
          <w:p>
            <w:pPr>
              <w:pStyle w:val="7"/>
              <w:rPr>
                <w:rFonts w:hint="default"/>
                <w:highlight w:val="none"/>
              </w:rPr>
            </w:pPr>
            <w:r>
              <w:rPr>
                <w:rFonts w:ascii="仿宋_GB2312" w:hAnsi="仿宋_GB2312" w:eastAsia="仿宋_GB2312" w:cs="仿宋_GB2312"/>
                <w:sz w:val="19"/>
                <w:highlight w:val="none"/>
              </w:rPr>
              <w:t>作业后未按要求清扫路面的；浇水或喷药洒到行人车辆等不文明行为的</w:t>
            </w:r>
          </w:p>
        </w:tc>
        <w:tc>
          <w:tcPr>
            <w:tcW w:w="1092"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每次</w:t>
            </w:r>
          </w:p>
        </w:tc>
        <w:tc>
          <w:tcPr>
            <w:tcW w:w="1964"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500</w:t>
            </w:r>
          </w:p>
        </w:tc>
        <w:tc>
          <w:tcPr>
            <w:tcW w:w="1631"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39"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5</w:t>
            </w:r>
          </w:p>
        </w:tc>
        <w:tc>
          <w:tcPr>
            <w:tcW w:w="4194" w:type="dxa"/>
            <w:tcMar>
              <w:top w:w="15" w:type="dxa"/>
              <w:left w:w="15" w:type="dxa"/>
              <w:bottom w:w="0" w:type="dxa"/>
              <w:right w:w="15" w:type="dxa"/>
            </w:tcMar>
          </w:tcPr>
          <w:p>
            <w:pPr>
              <w:pStyle w:val="7"/>
              <w:rPr>
                <w:rFonts w:hint="default"/>
                <w:highlight w:val="none"/>
              </w:rPr>
            </w:pPr>
            <w:r>
              <w:rPr>
                <w:rFonts w:ascii="仿宋_GB2312" w:hAnsi="仿宋_GB2312" w:eastAsia="仿宋_GB2312" w:cs="仿宋_GB2312"/>
                <w:sz w:val="19"/>
                <w:highlight w:val="none"/>
              </w:rPr>
              <w:t>桥梁施工期间高空抛物的</w:t>
            </w:r>
          </w:p>
        </w:tc>
        <w:tc>
          <w:tcPr>
            <w:tcW w:w="1092"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每次</w:t>
            </w:r>
          </w:p>
        </w:tc>
        <w:tc>
          <w:tcPr>
            <w:tcW w:w="1964"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1000</w:t>
            </w:r>
          </w:p>
        </w:tc>
        <w:tc>
          <w:tcPr>
            <w:tcW w:w="1631"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39"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6</w:t>
            </w:r>
          </w:p>
        </w:tc>
        <w:tc>
          <w:tcPr>
            <w:tcW w:w="4194" w:type="dxa"/>
            <w:tcMar>
              <w:top w:w="15" w:type="dxa"/>
              <w:left w:w="15" w:type="dxa"/>
              <w:bottom w:w="0" w:type="dxa"/>
              <w:right w:w="15" w:type="dxa"/>
            </w:tcMar>
          </w:tcPr>
          <w:p>
            <w:pPr>
              <w:pStyle w:val="7"/>
              <w:rPr>
                <w:rFonts w:hint="default"/>
                <w:highlight w:val="none"/>
              </w:rPr>
            </w:pPr>
            <w:r>
              <w:rPr>
                <w:rFonts w:ascii="仿宋_GB2312" w:hAnsi="仿宋_GB2312" w:eastAsia="仿宋_GB2312" w:cs="仿宋_GB2312"/>
                <w:sz w:val="19"/>
                <w:highlight w:val="none"/>
              </w:rPr>
              <w:t>三角梅花箱内有明显杂草的</w:t>
            </w:r>
          </w:p>
        </w:tc>
        <w:tc>
          <w:tcPr>
            <w:tcW w:w="1092"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每座</w:t>
            </w:r>
          </w:p>
        </w:tc>
        <w:tc>
          <w:tcPr>
            <w:tcW w:w="1964"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500</w:t>
            </w:r>
          </w:p>
        </w:tc>
        <w:tc>
          <w:tcPr>
            <w:tcW w:w="1631"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39"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7</w:t>
            </w:r>
          </w:p>
        </w:tc>
        <w:tc>
          <w:tcPr>
            <w:tcW w:w="4194" w:type="dxa"/>
            <w:tcMar>
              <w:top w:w="15" w:type="dxa"/>
              <w:left w:w="15" w:type="dxa"/>
              <w:bottom w:w="0" w:type="dxa"/>
              <w:right w:w="15" w:type="dxa"/>
            </w:tcMar>
          </w:tcPr>
          <w:p>
            <w:pPr>
              <w:pStyle w:val="7"/>
              <w:rPr>
                <w:rFonts w:hint="default"/>
                <w:highlight w:val="none"/>
              </w:rPr>
            </w:pPr>
            <w:r>
              <w:rPr>
                <w:rFonts w:ascii="仿宋_GB2312" w:hAnsi="仿宋_GB2312" w:eastAsia="仿宋_GB2312" w:cs="仿宋_GB2312"/>
                <w:sz w:val="19"/>
                <w:highlight w:val="none"/>
              </w:rPr>
              <w:t>三角梅徒长枝未及时修剪的</w:t>
            </w:r>
          </w:p>
        </w:tc>
        <w:tc>
          <w:tcPr>
            <w:tcW w:w="1092"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每座</w:t>
            </w:r>
          </w:p>
        </w:tc>
        <w:tc>
          <w:tcPr>
            <w:tcW w:w="1964"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500</w:t>
            </w:r>
          </w:p>
        </w:tc>
        <w:tc>
          <w:tcPr>
            <w:tcW w:w="1631"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39"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8</w:t>
            </w:r>
          </w:p>
        </w:tc>
        <w:tc>
          <w:tcPr>
            <w:tcW w:w="4194" w:type="dxa"/>
            <w:tcMar>
              <w:top w:w="15" w:type="dxa"/>
              <w:left w:w="15" w:type="dxa"/>
              <w:bottom w:w="0" w:type="dxa"/>
              <w:right w:w="15" w:type="dxa"/>
            </w:tcMar>
          </w:tcPr>
          <w:p>
            <w:pPr>
              <w:pStyle w:val="7"/>
              <w:rPr>
                <w:rFonts w:hint="default"/>
                <w:highlight w:val="none"/>
              </w:rPr>
            </w:pPr>
            <w:r>
              <w:rPr>
                <w:rFonts w:ascii="仿宋_GB2312" w:hAnsi="仿宋_GB2312" w:eastAsia="仿宋_GB2312" w:cs="仿宋_GB2312"/>
                <w:sz w:val="19"/>
                <w:highlight w:val="none"/>
              </w:rPr>
              <w:t>三角梅（除控水促开花外）养护不到位缺水、缺肥的</w:t>
            </w:r>
          </w:p>
        </w:tc>
        <w:tc>
          <w:tcPr>
            <w:tcW w:w="1092"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每座</w:t>
            </w:r>
          </w:p>
        </w:tc>
        <w:tc>
          <w:tcPr>
            <w:tcW w:w="1964"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500</w:t>
            </w:r>
          </w:p>
        </w:tc>
        <w:tc>
          <w:tcPr>
            <w:tcW w:w="1631"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39"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9</w:t>
            </w:r>
          </w:p>
        </w:tc>
        <w:tc>
          <w:tcPr>
            <w:tcW w:w="4194" w:type="dxa"/>
            <w:tcMar>
              <w:top w:w="15" w:type="dxa"/>
              <w:left w:w="15" w:type="dxa"/>
              <w:bottom w:w="0" w:type="dxa"/>
              <w:right w:w="15" w:type="dxa"/>
            </w:tcMar>
          </w:tcPr>
          <w:p>
            <w:pPr>
              <w:pStyle w:val="7"/>
              <w:rPr>
                <w:rFonts w:hint="default"/>
                <w:highlight w:val="none"/>
              </w:rPr>
            </w:pPr>
            <w:r>
              <w:rPr>
                <w:rFonts w:ascii="仿宋_GB2312" w:hAnsi="仿宋_GB2312" w:eastAsia="仿宋_GB2312" w:cs="仿宋_GB2312"/>
                <w:sz w:val="19"/>
                <w:highlight w:val="none"/>
              </w:rPr>
              <w:t>三角梅出现枯萎、缺株等现象未及时处理、更换的</w:t>
            </w:r>
          </w:p>
        </w:tc>
        <w:tc>
          <w:tcPr>
            <w:tcW w:w="1092"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每处</w:t>
            </w:r>
          </w:p>
        </w:tc>
        <w:tc>
          <w:tcPr>
            <w:tcW w:w="1964"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300</w:t>
            </w:r>
          </w:p>
        </w:tc>
        <w:tc>
          <w:tcPr>
            <w:tcW w:w="1631"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39"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10</w:t>
            </w:r>
          </w:p>
        </w:tc>
        <w:tc>
          <w:tcPr>
            <w:tcW w:w="4194" w:type="dxa"/>
            <w:tcMar>
              <w:top w:w="15" w:type="dxa"/>
              <w:left w:w="15" w:type="dxa"/>
              <w:bottom w:w="0" w:type="dxa"/>
              <w:right w:w="15" w:type="dxa"/>
            </w:tcMar>
          </w:tcPr>
          <w:p>
            <w:pPr>
              <w:pStyle w:val="7"/>
              <w:rPr>
                <w:rFonts w:hint="default"/>
                <w:highlight w:val="none"/>
              </w:rPr>
            </w:pPr>
            <w:r>
              <w:rPr>
                <w:rFonts w:ascii="仿宋_GB2312" w:hAnsi="仿宋_GB2312" w:eastAsia="仿宋_GB2312" w:cs="仿宋_GB2312"/>
                <w:sz w:val="19"/>
                <w:highlight w:val="none"/>
              </w:rPr>
              <w:t>三角梅花箱内有垃圾、老鼠洞的</w:t>
            </w:r>
          </w:p>
        </w:tc>
        <w:tc>
          <w:tcPr>
            <w:tcW w:w="1092"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每次</w:t>
            </w:r>
          </w:p>
        </w:tc>
        <w:tc>
          <w:tcPr>
            <w:tcW w:w="1964"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300</w:t>
            </w:r>
          </w:p>
        </w:tc>
        <w:tc>
          <w:tcPr>
            <w:tcW w:w="1631"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39"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11</w:t>
            </w:r>
          </w:p>
        </w:tc>
        <w:tc>
          <w:tcPr>
            <w:tcW w:w="4194" w:type="dxa"/>
            <w:tcMar>
              <w:top w:w="15" w:type="dxa"/>
              <w:left w:w="15" w:type="dxa"/>
              <w:bottom w:w="0" w:type="dxa"/>
              <w:right w:w="15" w:type="dxa"/>
            </w:tcMar>
          </w:tcPr>
          <w:p>
            <w:pPr>
              <w:pStyle w:val="7"/>
              <w:rPr>
                <w:rFonts w:hint="default"/>
                <w:highlight w:val="none"/>
              </w:rPr>
            </w:pPr>
            <w:r>
              <w:rPr>
                <w:rFonts w:ascii="仿宋_GB2312" w:hAnsi="仿宋_GB2312" w:eastAsia="仿宋_GB2312" w:cs="仿宋_GB2312"/>
                <w:sz w:val="19"/>
                <w:highlight w:val="none"/>
              </w:rPr>
              <w:t>温控开关、滴管、排水管或连接管等设施，维护不到位的，花箱漏水、被群众投诉的</w:t>
            </w:r>
          </w:p>
        </w:tc>
        <w:tc>
          <w:tcPr>
            <w:tcW w:w="1092"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每处</w:t>
            </w:r>
          </w:p>
        </w:tc>
        <w:tc>
          <w:tcPr>
            <w:tcW w:w="1964"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300</w:t>
            </w:r>
          </w:p>
        </w:tc>
        <w:tc>
          <w:tcPr>
            <w:tcW w:w="1631"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39"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12</w:t>
            </w:r>
          </w:p>
        </w:tc>
        <w:tc>
          <w:tcPr>
            <w:tcW w:w="4194" w:type="dxa"/>
            <w:tcMar>
              <w:top w:w="15" w:type="dxa"/>
              <w:left w:w="15" w:type="dxa"/>
              <w:bottom w:w="0" w:type="dxa"/>
              <w:right w:w="15" w:type="dxa"/>
            </w:tcMar>
          </w:tcPr>
          <w:p>
            <w:pPr>
              <w:pStyle w:val="7"/>
              <w:rPr>
                <w:rFonts w:hint="default"/>
                <w:highlight w:val="none"/>
              </w:rPr>
            </w:pPr>
            <w:r>
              <w:rPr>
                <w:rFonts w:ascii="仿宋_GB2312" w:hAnsi="仿宋_GB2312" w:eastAsia="仿宋_GB2312" w:cs="仿宋_GB2312"/>
                <w:sz w:val="19"/>
                <w:highlight w:val="none"/>
              </w:rPr>
              <w:t>未按要求清洗花箱、叶面灰尘的</w:t>
            </w:r>
          </w:p>
        </w:tc>
        <w:tc>
          <w:tcPr>
            <w:tcW w:w="1092"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每条块</w:t>
            </w:r>
          </w:p>
        </w:tc>
        <w:tc>
          <w:tcPr>
            <w:tcW w:w="1964"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300</w:t>
            </w:r>
          </w:p>
        </w:tc>
        <w:tc>
          <w:tcPr>
            <w:tcW w:w="1631"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39"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13</w:t>
            </w:r>
          </w:p>
        </w:tc>
        <w:tc>
          <w:tcPr>
            <w:tcW w:w="4194" w:type="dxa"/>
            <w:tcMar>
              <w:top w:w="15" w:type="dxa"/>
              <w:left w:w="15" w:type="dxa"/>
              <w:bottom w:w="0" w:type="dxa"/>
              <w:right w:w="15" w:type="dxa"/>
            </w:tcMar>
          </w:tcPr>
          <w:p>
            <w:pPr>
              <w:pStyle w:val="7"/>
              <w:rPr>
                <w:rFonts w:hint="default"/>
                <w:highlight w:val="none"/>
              </w:rPr>
            </w:pPr>
            <w:r>
              <w:rPr>
                <w:rFonts w:ascii="仿宋_GB2312" w:hAnsi="仿宋_GB2312" w:eastAsia="仿宋_GB2312" w:cs="仿宋_GB2312"/>
                <w:sz w:val="19"/>
                <w:highlight w:val="none"/>
              </w:rPr>
              <w:t>未及时防治病虫害，影响景观效果的</w:t>
            </w:r>
          </w:p>
        </w:tc>
        <w:tc>
          <w:tcPr>
            <w:tcW w:w="1092"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每座</w:t>
            </w:r>
          </w:p>
        </w:tc>
        <w:tc>
          <w:tcPr>
            <w:tcW w:w="1964"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1000</w:t>
            </w:r>
          </w:p>
        </w:tc>
        <w:tc>
          <w:tcPr>
            <w:tcW w:w="1631"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39"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14</w:t>
            </w:r>
          </w:p>
        </w:tc>
        <w:tc>
          <w:tcPr>
            <w:tcW w:w="4194" w:type="dxa"/>
            <w:tcMar>
              <w:top w:w="15" w:type="dxa"/>
              <w:left w:w="15" w:type="dxa"/>
              <w:bottom w:w="0" w:type="dxa"/>
              <w:right w:w="15" w:type="dxa"/>
            </w:tcMar>
          </w:tcPr>
          <w:p>
            <w:pPr>
              <w:pStyle w:val="7"/>
              <w:rPr>
                <w:rFonts w:hint="default"/>
                <w:highlight w:val="none"/>
              </w:rPr>
            </w:pPr>
            <w:r>
              <w:rPr>
                <w:rFonts w:ascii="仿宋_GB2312" w:hAnsi="仿宋_GB2312" w:eastAsia="仿宋_GB2312" w:cs="仿宋_GB2312"/>
                <w:sz w:val="19"/>
                <w:highlight w:val="none"/>
              </w:rPr>
              <w:t>未按要求做好防寒措施的</w:t>
            </w:r>
          </w:p>
        </w:tc>
        <w:tc>
          <w:tcPr>
            <w:tcW w:w="1092"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每座</w:t>
            </w:r>
          </w:p>
        </w:tc>
        <w:tc>
          <w:tcPr>
            <w:tcW w:w="1964"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1000</w:t>
            </w:r>
          </w:p>
        </w:tc>
        <w:tc>
          <w:tcPr>
            <w:tcW w:w="1631"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39"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15</w:t>
            </w:r>
          </w:p>
        </w:tc>
        <w:tc>
          <w:tcPr>
            <w:tcW w:w="4194" w:type="dxa"/>
            <w:tcMar>
              <w:top w:w="15" w:type="dxa"/>
              <w:left w:w="15" w:type="dxa"/>
              <w:bottom w:w="0" w:type="dxa"/>
              <w:right w:w="15" w:type="dxa"/>
            </w:tcMar>
          </w:tcPr>
          <w:p>
            <w:pPr>
              <w:pStyle w:val="7"/>
              <w:rPr>
                <w:rFonts w:hint="default"/>
                <w:highlight w:val="none"/>
              </w:rPr>
            </w:pPr>
            <w:r>
              <w:rPr>
                <w:rFonts w:ascii="仿宋_GB2312" w:hAnsi="仿宋_GB2312" w:eastAsia="仿宋_GB2312" w:cs="仿宋_GB2312"/>
                <w:sz w:val="19"/>
                <w:highlight w:val="none"/>
              </w:rPr>
              <w:t>修剪后焚烧绿化废弃物的</w:t>
            </w:r>
          </w:p>
        </w:tc>
        <w:tc>
          <w:tcPr>
            <w:tcW w:w="1092"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每起</w:t>
            </w:r>
          </w:p>
        </w:tc>
        <w:tc>
          <w:tcPr>
            <w:tcW w:w="1964"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1000</w:t>
            </w:r>
          </w:p>
        </w:tc>
        <w:tc>
          <w:tcPr>
            <w:tcW w:w="1631" w:type="dxa"/>
            <w:tcMar>
              <w:top w:w="15" w:type="dxa"/>
              <w:left w:w="15" w:type="dxa"/>
              <w:bottom w:w="0" w:type="dxa"/>
              <w:right w:w="15" w:type="dxa"/>
            </w:tcMar>
          </w:tcPr>
          <w:p>
            <w:pPr>
              <w:pStyle w:val="7"/>
              <w:jc w:val="center"/>
              <w:rPr>
                <w:rFonts w:hint="default"/>
                <w:highlight w:val="none"/>
              </w:rPr>
            </w:pPr>
            <w:r>
              <w:rPr>
                <w:rFonts w:ascii="仿宋_GB2312" w:hAnsi="仿宋_GB2312" w:eastAsia="仿宋_GB2312" w:cs="仿宋_GB2312"/>
                <w:sz w:val="19"/>
                <w:highlight w:val="none"/>
              </w:rPr>
              <w:t>2000</w:t>
            </w:r>
          </w:p>
        </w:tc>
      </w:tr>
    </w:tbl>
    <w:p>
      <w:pPr>
        <w:pStyle w:val="7"/>
        <w:jc w:val="both"/>
        <w:rPr>
          <w:rFonts w:ascii="仿宋_GB2312" w:hAnsi="仿宋_GB2312" w:eastAsia="仿宋_GB2312" w:cs="仿宋_GB2312"/>
          <w:sz w:val="33"/>
          <w:highlight w:val="none"/>
          <w:shd w:val="clear" w:fill="FFFFFF"/>
        </w:rPr>
      </w:pPr>
    </w:p>
    <w:tbl>
      <w:tblPr>
        <w:tblStyle w:val="4"/>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874"/>
        <w:gridCol w:w="543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740" w:type="dxa"/>
            <w:gridSpan w:val="4"/>
            <w:tcMar>
              <w:top w:w="0" w:type="dxa"/>
              <w:left w:w="105" w:type="dxa"/>
              <w:bottom w:w="0" w:type="dxa"/>
              <w:right w:w="105" w:type="dxa"/>
            </w:tcMar>
          </w:tcPr>
          <w:p>
            <w:pPr>
              <w:pStyle w:val="7"/>
              <w:jc w:val="center"/>
              <w:rPr>
                <w:rFonts w:hint="default"/>
                <w:highlight w:val="none"/>
              </w:rPr>
            </w:pPr>
            <w:r>
              <w:rPr>
                <w:rFonts w:ascii="仿宋_GB2312" w:hAnsi="仿宋_GB2312" w:eastAsia="仿宋_GB2312" w:cs="仿宋_GB2312"/>
                <w:b/>
                <w:sz w:val="28"/>
                <w:highlight w:val="none"/>
              </w:rPr>
              <w:t>福州市三角梅专项养护季度考评表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56"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b/>
                <w:sz w:val="20"/>
                <w:szCs w:val="20"/>
                <w:highlight w:val="none"/>
              </w:rPr>
              <w:t>序号</w:t>
            </w:r>
          </w:p>
        </w:tc>
        <w:tc>
          <w:tcPr>
            <w:tcW w:w="874"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b/>
                <w:sz w:val="20"/>
                <w:szCs w:val="20"/>
                <w:highlight w:val="none"/>
              </w:rPr>
              <w:t>分值</w:t>
            </w:r>
          </w:p>
        </w:tc>
        <w:tc>
          <w:tcPr>
            <w:tcW w:w="5430"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b/>
                <w:sz w:val="20"/>
                <w:szCs w:val="20"/>
                <w:highlight w:val="none"/>
              </w:rPr>
              <w:t>检查内容</w:t>
            </w:r>
          </w:p>
        </w:tc>
        <w:tc>
          <w:tcPr>
            <w:tcW w:w="2580"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b/>
                <w:sz w:val="20"/>
                <w:szCs w:val="20"/>
                <w:highlight w:val="none"/>
              </w:rPr>
              <w:t>考评标准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56"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1</w:t>
            </w:r>
          </w:p>
        </w:tc>
        <w:tc>
          <w:tcPr>
            <w:tcW w:w="874"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8分</w:t>
            </w:r>
          </w:p>
        </w:tc>
        <w:tc>
          <w:tcPr>
            <w:tcW w:w="5430" w:type="dxa"/>
            <w:tcMar>
              <w:top w:w="0" w:type="dxa"/>
              <w:left w:w="105" w:type="dxa"/>
              <w:bottom w:w="0" w:type="dxa"/>
              <w:right w:w="105" w:type="dxa"/>
            </w:tcMar>
          </w:tcPr>
          <w:p>
            <w:pPr>
              <w:pStyle w:val="7"/>
              <w:rPr>
                <w:rFonts w:hint="default"/>
                <w:sz w:val="20"/>
                <w:szCs w:val="20"/>
                <w:highlight w:val="none"/>
              </w:rPr>
            </w:pPr>
            <w:r>
              <w:rPr>
                <w:rFonts w:ascii="仿宋_GB2312" w:hAnsi="仿宋_GB2312" w:eastAsia="仿宋_GB2312" w:cs="仿宋_GB2312"/>
                <w:sz w:val="20"/>
                <w:szCs w:val="20"/>
                <w:highlight w:val="none"/>
              </w:rPr>
              <w:t>植株生长旺盛，修剪平整，轮廓清晰，边缘整齐自然，线条流畅清晰，冠幅完整美观</w:t>
            </w:r>
          </w:p>
        </w:tc>
        <w:tc>
          <w:tcPr>
            <w:tcW w:w="2580"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（巡检、抽查）每座扣0.5分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56"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2</w:t>
            </w:r>
          </w:p>
        </w:tc>
        <w:tc>
          <w:tcPr>
            <w:tcW w:w="874"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10分</w:t>
            </w:r>
          </w:p>
        </w:tc>
        <w:tc>
          <w:tcPr>
            <w:tcW w:w="5430" w:type="dxa"/>
            <w:tcMar>
              <w:top w:w="0" w:type="dxa"/>
              <w:left w:w="105" w:type="dxa"/>
              <w:bottom w:w="0" w:type="dxa"/>
              <w:right w:w="105" w:type="dxa"/>
            </w:tcMar>
          </w:tcPr>
          <w:p>
            <w:pPr>
              <w:pStyle w:val="7"/>
              <w:rPr>
                <w:rFonts w:hint="default"/>
                <w:sz w:val="20"/>
                <w:szCs w:val="20"/>
                <w:highlight w:val="none"/>
              </w:rPr>
            </w:pPr>
            <w:r>
              <w:rPr>
                <w:rFonts w:ascii="仿宋_GB2312" w:hAnsi="仿宋_GB2312" w:eastAsia="仿宋_GB2312" w:cs="仿宋_GB2312"/>
                <w:sz w:val="20"/>
                <w:szCs w:val="20"/>
                <w:highlight w:val="none"/>
              </w:rPr>
              <w:t>植株生长无徒长枝，枯死枝条、病虫害枝条</w:t>
            </w:r>
          </w:p>
        </w:tc>
        <w:tc>
          <w:tcPr>
            <w:tcW w:w="2580"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每10处（株）扣0.3分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56"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3</w:t>
            </w:r>
          </w:p>
        </w:tc>
        <w:tc>
          <w:tcPr>
            <w:tcW w:w="874"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10分</w:t>
            </w:r>
          </w:p>
        </w:tc>
        <w:tc>
          <w:tcPr>
            <w:tcW w:w="5430" w:type="dxa"/>
            <w:tcMar>
              <w:top w:w="0" w:type="dxa"/>
              <w:left w:w="105" w:type="dxa"/>
              <w:bottom w:w="0" w:type="dxa"/>
              <w:right w:w="105" w:type="dxa"/>
            </w:tcMar>
          </w:tcPr>
          <w:p>
            <w:pPr>
              <w:pStyle w:val="7"/>
              <w:rPr>
                <w:rFonts w:hint="default"/>
                <w:sz w:val="20"/>
                <w:szCs w:val="20"/>
                <w:highlight w:val="none"/>
              </w:rPr>
            </w:pPr>
            <w:r>
              <w:rPr>
                <w:rFonts w:ascii="仿宋_GB2312" w:hAnsi="仿宋_GB2312" w:eastAsia="仿宋_GB2312" w:cs="仿宋_GB2312"/>
                <w:sz w:val="20"/>
                <w:szCs w:val="20"/>
                <w:highlight w:val="none"/>
              </w:rPr>
              <w:t>植株叶色、叶形正常，无卷叶、焦叶、黄叶（生长季节），叶面干净</w:t>
            </w:r>
          </w:p>
        </w:tc>
        <w:tc>
          <w:tcPr>
            <w:tcW w:w="2580"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每10处（株）扣0.3分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56"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4</w:t>
            </w:r>
          </w:p>
        </w:tc>
        <w:tc>
          <w:tcPr>
            <w:tcW w:w="874"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5分</w:t>
            </w:r>
          </w:p>
        </w:tc>
        <w:tc>
          <w:tcPr>
            <w:tcW w:w="5430" w:type="dxa"/>
            <w:tcMar>
              <w:top w:w="0" w:type="dxa"/>
              <w:left w:w="105" w:type="dxa"/>
              <w:bottom w:w="0" w:type="dxa"/>
              <w:right w:w="105" w:type="dxa"/>
            </w:tcMar>
          </w:tcPr>
          <w:p>
            <w:pPr>
              <w:pStyle w:val="7"/>
              <w:rPr>
                <w:rFonts w:hint="default"/>
                <w:sz w:val="20"/>
                <w:szCs w:val="20"/>
                <w:highlight w:val="none"/>
              </w:rPr>
            </w:pPr>
            <w:r>
              <w:rPr>
                <w:rFonts w:ascii="仿宋_GB2312" w:hAnsi="仿宋_GB2312" w:eastAsia="仿宋_GB2312" w:cs="仿宋_GB2312"/>
                <w:sz w:val="20"/>
                <w:szCs w:val="20"/>
                <w:highlight w:val="none"/>
              </w:rPr>
              <w:t>花箱三角梅植株积水，导致植株枯死</w:t>
            </w:r>
          </w:p>
        </w:tc>
        <w:tc>
          <w:tcPr>
            <w:tcW w:w="2580"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 xml:space="preserve">   每组花箱扣0.5分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56"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5</w:t>
            </w:r>
          </w:p>
        </w:tc>
        <w:tc>
          <w:tcPr>
            <w:tcW w:w="874"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5分</w:t>
            </w:r>
          </w:p>
        </w:tc>
        <w:tc>
          <w:tcPr>
            <w:tcW w:w="5430" w:type="dxa"/>
            <w:tcMar>
              <w:top w:w="0" w:type="dxa"/>
              <w:left w:w="105" w:type="dxa"/>
              <w:bottom w:w="0" w:type="dxa"/>
              <w:right w:w="105" w:type="dxa"/>
            </w:tcMar>
          </w:tcPr>
          <w:p>
            <w:pPr>
              <w:pStyle w:val="7"/>
              <w:rPr>
                <w:rFonts w:hint="default"/>
                <w:sz w:val="20"/>
                <w:szCs w:val="20"/>
                <w:highlight w:val="none"/>
              </w:rPr>
            </w:pPr>
            <w:r>
              <w:rPr>
                <w:rFonts w:ascii="仿宋_GB2312" w:hAnsi="仿宋_GB2312" w:eastAsia="仿宋_GB2312" w:cs="仿宋_GB2312"/>
                <w:sz w:val="20"/>
                <w:szCs w:val="20"/>
                <w:highlight w:val="none"/>
              </w:rPr>
              <w:t>花箱三角梅植株缺株断档</w:t>
            </w:r>
          </w:p>
        </w:tc>
        <w:tc>
          <w:tcPr>
            <w:tcW w:w="2580"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每处扣0.3分分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56"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6</w:t>
            </w:r>
          </w:p>
        </w:tc>
        <w:tc>
          <w:tcPr>
            <w:tcW w:w="874"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5分</w:t>
            </w:r>
          </w:p>
        </w:tc>
        <w:tc>
          <w:tcPr>
            <w:tcW w:w="5430" w:type="dxa"/>
            <w:tcMar>
              <w:top w:w="0" w:type="dxa"/>
              <w:left w:w="105" w:type="dxa"/>
              <w:bottom w:w="0" w:type="dxa"/>
              <w:right w:w="105" w:type="dxa"/>
            </w:tcMar>
          </w:tcPr>
          <w:p>
            <w:pPr>
              <w:pStyle w:val="7"/>
              <w:rPr>
                <w:rFonts w:hint="default"/>
                <w:sz w:val="20"/>
                <w:szCs w:val="20"/>
                <w:highlight w:val="none"/>
              </w:rPr>
            </w:pPr>
            <w:r>
              <w:rPr>
                <w:rFonts w:ascii="仿宋_GB2312" w:hAnsi="仿宋_GB2312" w:eastAsia="仿宋_GB2312" w:cs="仿宋_GB2312"/>
                <w:sz w:val="20"/>
                <w:szCs w:val="20"/>
                <w:highlight w:val="none"/>
              </w:rPr>
              <w:t>土壤保水、植物需水情况的适时适量浇水未到位，造成植株枯死的</w:t>
            </w:r>
          </w:p>
        </w:tc>
        <w:tc>
          <w:tcPr>
            <w:tcW w:w="2580"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每条块扣0.3分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56"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7</w:t>
            </w:r>
          </w:p>
        </w:tc>
        <w:tc>
          <w:tcPr>
            <w:tcW w:w="874"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5分</w:t>
            </w:r>
          </w:p>
        </w:tc>
        <w:tc>
          <w:tcPr>
            <w:tcW w:w="5430" w:type="dxa"/>
            <w:tcMar>
              <w:top w:w="0" w:type="dxa"/>
              <w:left w:w="105" w:type="dxa"/>
              <w:bottom w:w="0" w:type="dxa"/>
              <w:right w:w="105" w:type="dxa"/>
            </w:tcMar>
          </w:tcPr>
          <w:p>
            <w:pPr>
              <w:pStyle w:val="7"/>
              <w:rPr>
                <w:rFonts w:hint="default"/>
                <w:sz w:val="20"/>
                <w:szCs w:val="20"/>
                <w:highlight w:val="none"/>
              </w:rPr>
            </w:pPr>
            <w:r>
              <w:rPr>
                <w:rFonts w:ascii="仿宋_GB2312" w:hAnsi="仿宋_GB2312" w:eastAsia="仿宋_GB2312" w:cs="仿宋_GB2312"/>
                <w:sz w:val="20"/>
                <w:szCs w:val="20"/>
                <w:highlight w:val="none"/>
              </w:rPr>
              <w:t>施肥因操作不当，造成植株枯黄的</w:t>
            </w:r>
          </w:p>
        </w:tc>
        <w:tc>
          <w:tcPr>
            <w:tcW w:w="2580"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每组花箱扣0.3分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56"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8</w:t>
            </w:r>
          </w:p>
        </w:tc>
        <w:tc>
          <w:tcPr>
            <w:tcW w:w="874"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5分</w:t>
            </w:r>
          </w:p>
        </w:tc>
        <w:tc>
          <w:tcPr>
            <w:tcW w:w="5430" w:type="dxa"/>
            <w:tcMar>
              <w:top w:w="0" w:type="dxa"/>
              <w:left w:w="105" w:type="dxa"/>
              <w:bottom w:w="0" w:type="dxa"/>
              <w:right w:w="105" w:type="dxa"/>
            </w:tcMar>
          </w:tcPr>
          <w:p>
            <w:pPr>
              <w:pStyle w:val="7"/>
              <w:rPr>
                <w:rFonts w:hint="default"/>
                <w:sz w:val="20"/>
                <w:szCs w:val="20"/>
                <w:highlight w:val="none"/>
              </w:rPr>
            </w:pPr>
            <w:r>
              <w:rPr>
                <w:rFonts w:ascii="仿宋_GB2312" w:hAnsi="仿宋_GB2312" w:eastAsia="仿宋_GB2312" w:cs="仿宋_GB2312"/>
                <w:sz w:val="20"/>
                <w:szCs w:val="20"/>
                <w:highlight w:val="none"/>
              </w:rPr>
              <w:t>花箱内有杂草，或爬藤植物覆盖植株生长的</w:t>
            </w:r>
          </w:p>
        </w:tc>
        <w:tc>
          <w:tcPr>
            <w:tcW w:w="2580"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每条块扣0.3分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56"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9</w:t>
            </w:r>
          </w:p>
        </w:tc>
        <w:tc>
          <w:tcPr>
            <w:tcW w:w="874"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8分</w:t>
            </w:r>
          </w:p>
        </w:tc>
        <w:tc>
          <w:tcPr>
            <w:tcW w:w="5430" w:type="dxa"/>
            <w:tcMar>
              <w:top w:w="0" w:type="dxa"/>
              <w:left w:w="105" w:type="dxa"/>
              <w:bottom w:w="0" w:type="dxa"/>
              <w:right w:w="105" w:type="dxa"/>
            </w:tcMar>
          </w:tcPr>
          <w:p>
            <w:pPr>
              <w:pStyle w:val="7"/>
              <w:rPr>
                <w:rFonts w:hint="default"/>
                <w:sz w:val="20"/>
                <w:szCs w:val="20"/>
                <w:highlight w:val="none"/>
              </w:rPr>
            </w:pPr>
            <w:r>
              <w:rPr>
                <w:rFonts w:ascii="仿宋_GB2312" w:hAnsi="仿宋_GB2312" w:eastAsia="仿宋_GB2312" w:cs="仿宋_GB2312"/>
                <w:sz w:val="20"/>
                <w:szCs w:val="20"/>
                <w:highlight w:val="none"/>
              </w:rPr>
              <w:t>花期（按要求另行考核），盛花期后残花败叶未及时清理的</w:t>
            </w:r>
          </w:p>
        </w:tc>
        <w:tc>
          <w:tcPr>
            <w:tcW w:w="2580"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每座扣0.3分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856"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10</w:t>
            </w:r>
          </w:p>
        </w:tc>
        <w:tc>
          <w:tcPr>
            <w:tcW w:w="874"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5分</w:t>
            </w:r>
          </w:p>
        </w:tc>
        <w:tc>
          <w:tcPr>
            <w:tcW w:w="5430" w:type="dxa"/>
            <w:tcMar>
              <w:top w:w="0" w:type="dxa"/>
              <w:left w:w="105" w:type="dxa"/>
              <w:bottom w:w="0" w:type="dxa"/>
              <w:right w:w="105" w:type="dxa"/>
            </w:tcMar>
          </w:tcPr>
          <w:p>
            <w:pPr>
              <w:pStyle w:val="7"/>
              <w:rPr>
                <w:rFonts w:hint="default"/>
                <w:sz w:val="20"/>
                <w:szCs w:val="20"/>
                <w:highlight w:val="none"/>
              </w:rPr>
            </w:pPr>
            <w:r>
              <w:rPr>
                <w:rFonts w:ascii="仿宋_GB2312" w:hAnsi="仿宋_GB2312" w:eastAsia="仿宋_GB2312" w:cs="仿宋_GB2312"/>
                <w:sz w:val="20"/>
                <w:szCs w:val="20"/>
                <w:highlight w:val="none"/>
              </w:rPr>
              <w:t>天桥、高架桥及地下通道沿线三角梅区域内无白色垃圾、污物或其他有形垃圾及杂物，枝叶上无有形垃圾、晾晒物、吊挂物等未经绿化管理部门允许设置的设施；种植槽内无渣土、砖石等有形废弃杂物；无卫生死角的</w:t>
            </w:r>
          </w:p>
        </w:tc>
        <w:tc>
          <w:tcPr>
            <w:tcW w:w="2580"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每处扣0.3分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56"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11</w:t>
            </w:r>
          </w:p>
        </w:tc>
        <w:tc>
          <w:tcPr>
            <w:tcW w:w="874"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5分</w:t>
            </w:r>
          </w:p>
        </w:tc>
        <w:tc>
          <w:tcPr>
            <w:tcW w:w="5430" w:type="dxa"/>
            <w:tcMar>
              <w:top w:w="0" w:type="dxa"/>
              <w:left w:w="105" w:type="dxa"/>
              <w:bottom w:w="0" w:type="dxa"/>
              <w:right w:w="105" w:type="dxa"/>
            </w:tcMar>
          </w:tcPr>
          <w:p>
            <w:pPr>
              <w:pStyle w:val="7"/>
              <w:rPr>
                <w:rFonts w:hint="default"/>
                <w:sz w:val="20"/>
                <w:szCs w:val="20"/>
                <w:highlight w:val="none"/>
              </w:rPr>
            </w:pPr>
            <w:r>
              <w:rPr>
                <w:rFonts w:ascii="仿宋_GB2312" w:hAnsi="仿宋_GB2312" w:eastAsia="仿宋_GB2312" w:cs="仿宋_GB2312"/>
                <w:sz w:val="20"/>
                <w:szCs w:val="20"/>
                <w:highlight w:val="none"/>
              </w:rPr>
              <w:t>花箱排水良好，有滴漏现象，影响桥下行人安全的或及其它投诉的</w:t>
            </w:r>
          </w:p>
        </w:tc>
        <w:tc>
          <w:tcPr>
            <w:tcW w:w="2580"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每次扣0.3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56"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12</w:t>
            </w:r>
          </w:p>
        </w:tc>
        <w:tc>
          <w:tcPr>
            <w:tcW w:w="874"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9分</w:t>
            </w:r>
          </w:p>
        </w:tc>
        <w:tc>
          <w:tcPr>
            <w:tcW w:w="5430" w:type="dxa"/>
            <w:tcMar>
              <w:top w:w="0" w:type="dxa"/>
              <w:left w:w="105" w:type="dxa"/>
              <w:bottom w:w="0" w:type="dxa"/>
              <w:right w:w="105" w:type="dxa"/>
            </w:tcMar>
          </w:tcPr>
          <w:p>
            <w:pPr>
              <w:pStyle w:val="7"/>
              <w:rPr>
                <w:rFonts w:hint="default"/>
                <w:sz w:val="20"/>
                <w:szCs w:val="20"/>
                <w:highlight w:val="none"/>
              </w:rPr>
            </w:pPr>
            <w:r>
              <w:rPr>
                <w:rFonts w:ascii="仿宋_GB2312" w:hAnsi="仿宋_GB2312" w:eastAsia="仿宋_GB2312" w:cs="仿宋_GB2312"/>
                <w:sz w:val="20"/>
                <w:szCs w:val="20"/>
                <w:highlight w:val="none"/>
              </w:rPr>
              <w:t>养护工作日志（含修剪、淋水、施肥、病害防治等）未完整的</w:t>
            </w:r>
          </w:p>
        </w:tc>
        <w:tc>
          <w:tcPr>
            <w:tcW w:w="2580"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每5次扣0.5分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56"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13</w:t>
            </w:r>
          </w:p>
        </w:tc>
        <w:tc>
          <w:tcPr>
            <w:tcW w:w="874"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6分</w:t>
            </w:r>
          </w:p>
        </w:tc>
        <w:tc>
          <w:tcPr>
            <w:tcW w:w="5430" w:type="dxa"/>
            <w:tcMar>
              <w:top w:w="0" w:type="dxa"/>
              <w:left w:w="105" w:type="dxa"/>
              <w:bottom w:w="0" w:type="dxa"/>
              <w:right w:w="105" w:type="dxa"/>
            </w:tcMar>
          </w:tcPr>
          <w:p>
            <w:pPr>
              <w:pStyle w:val="7"/>
              <w:rPr>
                <w:rFonts w:hint="default"/>
                <w:sz w:val="20"/>
                <w:szCs w:val="20"/>
                <w:highlight w:val="none"/>
              </w:rPr>
            </w:pPr>
            <w:r>
              <w:rPr>
                <w:rFonts w:ascii="仿宋_GB2312" w:hAnsi="仿宋_GB2312" w:eastAsia="仿宋_GB2312" w:cs="仿宋_GB2312"/>
                <w:sz w:val="20"/>
                <w:szCs w:val="20"/>
                <w:highlight w:val="none"/>
              </w:rPr>
              <w:t>花箱维护，滴灌排水系统维护日志</w:t>
            </w:r>
            <w:r>
              <w:rPr>
                <w:rFonts w:ascii="仿宋_GB2312" w:hAnsi="仿宋_GB2312" w:eastAsia="仿宋_GB2312" w:cs="仿宋_GB2312"/>
                <w:strike w:val="0"/>
                <w:dstrike w:val="0"/>
                <w:sz w:val="20"/>
                <w:szCs w:val="20"/>
                <w:highlight w:val="none"/>
              </w:rPr>
              <w:t>（</w:t>
            </w:r>
            <w:r>
              <w:rPr>
                <w:rFonts w:hint="eastAsia" w:ascii="仿宋_GB2312" w:hAnsi="仿宋_GB2312" w:eastAsia="仿宋_GB2312" w:cs="仿宋_GB2312"/>
                <w:strike w:val="0"/>
                <w:dstrike w:val="0"/>
                <w:sz w:val="20"/>
                <w:szCs w:val="20"/>
                <w:highlight w:val="none"/>
                <w:lang w:val="en-US" w:eastAsia="zh-CN"/>
              </w:rPr>
              <w:t>3</w:t>
            </w:r>
            <w:r>
              <w:rPr>
                <w:rFonts w:ascii="仿宋_GB2312" w:hAnsi="仿宋_GB2312" w:eastAsia="仿宋_GB2312" w:cs="仿宋_GB2312"/>
                <w:strike w:val="0"/>
                <w:dstrike w:val="0"/>
                <w:sz w:val="20"/>
                <w:szCs w:val="20"/>
                <w:highlight w:val="none"/>
              </w:rPr>
              <w:t>次）</w:t>
            </w:r>
          </w:p>
        </w:tc>
        <w:tc>
          <w:tcPr>
            <w:tcW w:w="2580"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每次扣</w:t>
            </w:r>
            <w:r>
              <w:rPr>
                <w:rFonts w:hint="eastAsia" w:ascii="仿宋_GB2312" w:hAnsi="仿宋_GB2312" w:eastAsia="仿宋_GB2312" w:cs="仿宋_GB2312"/>
                <w:strike w:val="0"/>
                <w:dstrike w:val="0"/>
                <w:sz w:val="20"/>
                <w:szCs w:val="20"/>
                <w:highlight w:val="none"/>
                <w:lang w:val="en-US" w:eastAsia="zh-CN"/>
              </w:rPr>
              <w:t>2</w:t>
            </w:r>
            <w:r>
              <w:rPr>
                <w:rFonts w:ascii="仿宋_GB2312" w:hAnsi="仿宋_GB2312" w:eastAsia="仿宋_GB2312" w:cs="仿宋_GB2312"/>
                <w:sz w:val="20"/>
                <w:szCs w:val="2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56"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14</w:t>
            </w:r>
          </w:p>
        </w:tc>
        <w:tc>
          <w:tcPr>
            <w:tcW w:w="874"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9分</w:t>
            </w:r>
          </w:p>
        </w:tc>
        <w:tc>
          <w:tcPr>
            <w:tcW w:w="5430" w:type="dxa"/>
            <w:tcMar>
              <w:top w:w="0" w:type="dxa"/>
              <w:left w:w="105" w:type="dxa"/>
              <w:bottom w:w="0" w:type="dxa"/>
              <w:right w:w="105" w:type="dxa"/>
            </w:tcMar>
          </w:tcPr>
          <w:p>
            <w:pPr>
              <w:pStyle w:val="7"/>
              <w:rPr>
                <w:rFonts w:hint="default"/>
                <w:sz w:val="20"/>
                <w:szCs w:val="20"/>
                <w:highlight w:val="none"/>
              </w:rPr>
            </w:pPr>
            <w:r>
              <w:rPr>
                <w:rFonts w:ascii="仿宋_GB2312" w:hAnsi="仿宋_GB2312" w:eastAsia="仿宋_GB2312" w:cs="仿宋_GB2312"/>
                <w:sz w:val="20"/>
                <w:szCs w:val="20"/>
                <w:highlight w:val="none"/>
              </w:rPr>
              <w:t>安全布控施工日志（申请占用文件、布控措施、上岗人员安全防护措施、每周安全会议）未完整的</w:t>
            </w:r>
          </w:p>
        </w:tc>
        <w:tc>
          <w:tcPr>
            <w:tcW w:w="2580"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每5次扣0.5分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56"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15</w:t>
            </w:r>
          </w:p>
        </w:tc>
        <w:tc>
          <w:tcPr>
            <w:tcW w:w="874"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5分</w:t>
            </w:r>
          </w:p>
        </w:tc>
        <w:tc>
          <w:tcPr>
            <w:tcW w:w="5430" w:type="dxa"/>
            <w:tcMar>
              <w:top w:w="0" w:type="dxa"/>
              <w:left w:w="105" w:type="dxa"/>
              <w:bottom w:w="0" w:type="dxa"/>
              <w:right w:w="105" w:type="dxa"/>
            </w:tcMar>
          </w:tcPr>
          <w:p>
            <w:pPr>
              <w:pStyle w:val="7"/>
              <w:rPr>
                <w:rFonts w:hint="default"/>
                <w:sz w:val="20"/>
                <w:szCs w:val="20"/>
                <w:highlight w:val="none"/>
              </w:rPr>
            </w:pPr>
            <w:r>
              <w:rPr>
                <w:rFonts w:ascii="仿宋_GB2312" w:hAnsi="仿宋_GB2312" w:eastAsia="仿宋_GB2312" w:cs="仿宋_GB2312"/>
                <w:sz w:val="20"/>
                <w:szCs w:val="20"/>
                <w:highlight w:val="none"/>
              </w:rPr>
              <w:t>做好重大活动保障、突发事件处置不当的</w:t>
            </w:r>
          </w:p>
        </w:tc>
        <w:tc>
          <w:tcPr>
            <w:tcW w:w="2580"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56"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总分</w:t>
            </w:r>
          </w:p>
        </w:tc>
        <w:tc>
          <w:tcPr>
            <w:tcW w:w="874" w:type="dxa"/>
            <w:tcMar>
              <w:top w:w="0" w:type="dxa"/>
              <w:left w:w="105" w:type="dxa"/>
              <w:bottom w:w="0" w:type="dxa"/>
              <w:right w:w="105" w:type="dxa"/>
            </w:tcMar>
          </w:tcPr>
          <w:p>
            <w:pPr>
              <w:pStyle w:val="7"/>
              <w:jc w:val="center"/>
              <w:rPr>
                <w:rFonts w:hint="default"/>
                <w:sz w:val="20"/>
                <w:szCs w:val="20"/>
                <w:highlight w:val="none"/>
              </w:rPr>
            </w:pPr>
            <w:r>
              <w:rPr>
                <w:rFonts w:ascii="仿宋_GB2312" w:hAnsi="仿宋_GB2312" w:eastAsia="仿宋_GB2312" w:cs="仿宋_GB2312"/>
                <w:sz w:val="20"/>
                <w:szCs w:val="20"/>
                <w:highlight w:val="none"/>
              </w:rPr>
              <w:t>100分</w:t>
            </w:r>
          </w:p>
        </w:tc>
        <w:tc>
          <w:tcPr>
            <w:tcW w:w="5430" w:type="dxa"/>
            <w:tcMar>
              <w:top w:w="0" w:type="dxa"/>
              <w:left w:w="105" w:type="dxa"/>
              <w:bottom w:w="0" w:type="dxa"/>
              <w:right w:w="105" w:type="dxa"/>
            </w:tcMar>
          </w:tcPr>
          <w:p>
            <w:pPr>
              <w:pStyle w:val="7"/>
              <w:jc w:val="both"/>
              <w:rPr>
                <w:rFonts w:hint="default"/>
                <w:sz w:val="20"/>
                <w:szCs w:val="20"/>
                <w:highlight w:val="none"/>
              </w:rPr>
            </w:pPr>
          </w:p>
        </w:tc>
        <w:tc>
          <w:tcPr>
            <w:tcW w:w="2580" w:type="dxa"/>
            <w:tcMar>
              <w:top w:w="0" w:type="dxa"/>
              <w:left w:w="105" w:type="dxa"/>
              <w:bottom w:w="0" w:type="dxa"/>
              <w:right w:w="105" w:type="dxa"/>
            </w:tcMar>
          </w:tcPr>
          <w:p>
            <w:pPr>
              <w:rPr>
                <w:sz w:val="20"/>
                <w:szCs w:val="20"/>
                <w:highlight w:val="none"/>
              </w:rPr>
            </w:pPr>
          </w:p>
        </w:tc>
      </w:tr>
    </w:tbl>
    <w:p>
      <w:pPr>
        <w:pStyle w:val="7"/>
        <w:jc w:val="both"/>
        <w:rPr>
          <w:rFonts w:ascii="仿宋_GB2312" w:hAnsi="仿宋_GB2312" w:eastAsia="仿宋_GB2312" w:cs="仿宋_GB2312"/>
          <w:sz w:val="33"/>
          <w:highlight w:val="none"/>
          <w:shd w:val="clear" w:fill="FFFFFF"/>
        </w:rPr>
      </w:pP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94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4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7"/>
              <w:jc w:val="center"/>
              <w:rPr>
                <w:rFonts w:hint="default"/>
                <w:highlight w:val="none"/>
              </w:rPr>
            </w:pPr>
            <w:r>
              <w:rPr>
                <w:rFonts w:hint="eastAsia" w:ascii="仿宋_GB2312" w:hAnsi="仿宋_GB2312" w:eastAsia="仿宋_GB2312" w:cs="仿宋_GB2312"/>
                <w:b/>
                <w:sz w:val="28"/>
                <w:highlight w:val="none"/>
                <w:lang w:val="en-US" w:eastAsia="zh-CN"/>
              </w:rPr>
              <w:t>2026-2027年新增三角梅专项养护</w:t>
            </w:r>
            <w:r>
              <w:rPr>
                <w:rFonts w:ascii="仿宋_GB2312" w:hAnsi="仿宋_GB2312" w:eastAsia="仿宋_GB2312" w:cs="仿宋_GB2312"/>
                <w:b/>
                <w:sz w:val="28"/>
                <w:highlight w:val="none"/>
              </w:rPr>
              <w:t>质量要求</w:t>
            </w:r>
          </w:p>
          <w:p>
            <w:pPr>
              <w:pStyle w:val="7"/>
              <w:ind w:firstLine="402"/>
              <w:jc w:val="both"/>
              <w:rPr>
                <w:rFonts w:hint="default"/>
                <w:highlight w:val="none"/>
              </w:rPr>
            </w:pPr>
            <w:r>
              <w:rPr>
                <w:rFonts w:ascii="仿宋_GB2312" w:hAnsi="仿宋_GB2312" w:eastAsia="仿宋_GB2312" w:cs="仿宋_GB2312"/>
                <w:b/>
                <w:sz w:val="19"/>
                <w:highlight w:val="none"/>
              </w:rPr>
              <w:t>一、总则</w:t>
            </w:r>
          </w:p>
          <w:p>
            <w:pPr>
              <w:pStyle w:val="7"/>
              <w:ind w:firstLine="380"/>
              <w:rPr>
                <w:rFonts w:hint="eastAsia" w:ascii="仿宋_GB2312" w:hAnsi="仿宋_GB2312" w:eastAsia="仿宋_GB2312" w:cs="仿宋_GB2312"/>
                <w:sz w:val="19"/>
                <w:highlight w:val="none"/>
                <w:lang w:val="en-US" w:eastAsia="zh-Hans"/>
              </w:rPr>
            </w:pPr>
            <w:r>
              <w:rPr>
                <w:rFonts w:hint="eastAsia" w:ascii="仿宋_GB2312" w:hAnsi="仿宋_GB2312" w:eastAsia="仿宋_GB2312" w:cs="仿宋_GB2312"/>
                <w:sz w:val="19"/>
                <w:highlight w:val="none"/>
                <w:lang w:val="en-US" w:eastAsia="zh-Hans"/>
              </w:rPr>
              <w:t>为规范福州市三角梅专项养护质量要求，提高三角梅养护管理水平，保持绿化景观效果，规范</w:t>
            </w:r>
            <w:r>
              <w:rPr>
                <w:rFonts w:hint="eastAsia" w:ascii="仿宋_GB2312" w:hAnsi="仿宋_GB2312" w:eastAsia="仿宋_GB2312" w:cs="仿宋_GB2312"/>
                <w:sz w:val="19"/>
                <w:highlight w:val="none"/>
                <w:lang w:val="en-US" w:eastAsia="zh-CN"/>
              </w:rPr>
              <w:t>三角梅专项</w:t>
            </w:r>
            <w:r>
              <w:rPr>
                <w:rFonts w:hint="eastAsia" w:ascii="仿宋_GB2312" w:hAnsi="仿宋_GB2312" w:eastAsia="仿宋_GB2312" w:cs="仿宋_GB2312"/>
                <w:sz w:val="19"/>
                <w:highlight w:val="none"/>
                <w:lang w:val="en-US" w:eastAsia="zh-Hans"/>
              </w:rPr>
              <w:t>养护作业和考核工作，</w:t>
            </w:r>
            <w:r>
              <w:rPr>
                <w:rFonts w:hint="eastAsia" w:ascii="仿宋_GB2312" w:hAnsi="仿宋_GB2312" w:eastAsia="仿宋_GB2312" w:cs="仿宋_GB2312"/>
                <w:sz w:val="19"/>
                <w:highlight w:val="none"/>
                <w:lang w:val="en-US" w:eastAsia="zh-CN"/>
              </w:rPr>
              <w:t>特</w:t>
            </w:r>
            <w:r>
              <w:rPr>
                <w:rFonts w:hint="eastAsia" w:ascii="仿宋_GB2312" w:hAnsi="仿宋_GB2312" w:eastAsia="仿宋_GB2312" w:cs="仿宋_GB2312"/>
                <w:sz w:val="19"/>
                <w:highlight w:val="none"/>
                <w:lang w:val="en-US" w:eastAsia="zh-Hans"/>
              </w:rPr>
              <w:t>制</w:t>
            </w:r>
            <w:r>
              <w:rPr>
                <w:rFonts w:hint="eastAsia" w:ascii="仿宋_GB2312" w:hAnsi="仿宋_GB2312" w:eastAsia="仿宋_GB2312" w:cs="仿宋_GB2312"/>
                <w:sz w:val="19"/>
                <w:highlight w:val="none"/>
                <w:lang w:val="en-US" w:eastAsia="zh-CN"/>
              </w:rPr>
              <w:t>定2026-2027年新增</w:t>
            </w:r>
            <w:r>
              <w:rPr>
                <w:rFonts w:ascii="仿宋_GB2312" w:hAnsi="仿宋_GB2312" w:eastAsia="仿宋_GB2312" w:cs="仿宋_GB2312"/>
                <w:sz w:val="19"/>
                <w:highlight w:val="none"/>
              </w:rPr>
              <w:t>三角梅日常养护质量标准</w:t>
            </w:r>
            <w:r>
              <w:rPr>
                <w:rFonts w:hint="eastAsia" w:ascii="仿宋_GB2312" w:hAnsi="仿宋_GB2312" w:eastAsia="仿宋_GB2312" w:cs="仿宋_GB2312"/>
                <w:sz w:val="19"/>
                <w:highlight w:val="none"/>
                <w:lang w:val="en-US" w:eastAsia="zh-Hans"/>
              </w:rPr>
              <w:t>。</w:t>
            </w:r>
          </w:p>
          <w:p>
            <w:pPr>
              <w:pStyle w:val="7"/>
              <w:ind w:firstLine="380"/>
              <w:rPr>
                <w:rFonts w:hint="default"/>
                <w:highlight w:val="none"/>
              </w:rPr>
            </w:pPr>
            <w:r>
              <w:rPr>
                <w:rFonts w:ascii="仿宋_GB2312" w:hAnsi="仿宋_GB2312" w:eastAsia="仿宋_GB2312" w:cs="仿宋_GB2312"/>
                <w:b/>
                <w:sz w:val="19"/>
                <w:highlight w:val="none"/>
              </w:rPr>
              <w:t>二、养护作业要求</w:t>
            </w:r>
          </w:p>
          <w:p>
            <w:pPr>
              <w:pStyle w:val="7"/>
              <w:ind w:firstLine="400"/>
              <w:jc w:val="both"/>
              <w:rPr>
                <w:rFonts w:hint="default"/>
                <w:highlight w:val="none"/>
              </w:rPr>
            </w:pPr>
            <w:r>
              <w:rPr>
                <w:rFonts w:ascii="仿宋_GB2312" w:hAnsi="仿宋_GB2312" w:eastAsia="仿宋_GB2312" w:cs="仿宋_GB2312"/>
                <w:sz w:val="19"/>
                <w:highlight w:val="none"/>
              </w:rPr>
              <w:t>（1）对已安装灌溉系统的，应根据三角梅种类、气候和实地环境等情况设定程序，自动控制供水，淋水适宜。</w:t>
            </w:r>
          </w:p>
          <w:p>
            <w:pPr>
              <w:pStyle w:val="7"/>
              <w:ind w:firstLine="400"/>
              <w:jc w:val="both"/>
              <w:rPr>
                <w:rFonts w:hint="default"/>
                <w:highlight w:val="none"/>
              </w:rPr>
            </w:pPr>
            <w:r>
              <w:rPr>
                <w:rFonts w:ascii="仿宋_GB2312" w:hAnsi="仿宋_GB2312" w:eastAsia="仿宋_GB2312" w:cs="仿宋_GB2312"/>
                <w:sz w:val="19"/>
                <w:highlight w:val="none"/>
              </w:rPr>
              <w:t>（2）应配备充足的灌溉系统配件, 及时更换老化的管件。经常检查灌溉系统，喷头堵塞应及时疏通或更换，缺失的应及时补装。</w:t>
            </w:r>
          </w:p>
          <w:p>
            <w:pPr>
              <w:pStyle w:val="7"/>
              <w:ind w:firstLine="400"/>
              <w:jc w:val="both"/>
              <w:rPr>
                <w:rFonts w:hint="default"/>
                <w:highlight w:val="none"/>
              </w:rPr>
            </w:pPr>
            <w:r>
              <w:rPr>
                <w:rFonts w:ascii="仿宋_GB2312" w:hAnsi="仿宋_GB2312" w:eastAsia="仿宋_GB2312" w:cs="仿宋_GB2312"/>
                <w:sz w:val="19"/>
                <w:highlight w:val="none"/>
              </w:rPr>
              <w:t>（3）利用水车等外接设备浇灌的，灌溉水量应适宜，应既能满足植物的需求，又能避免过多的水流到桥梁下影响行车和行人。</w:t>
            </w:r>
          </w:p>
          <w:p>
            <w:pPr>
              <w:pStyle w:val="7"/>
              <w:ind w:firstLine="400"/>
              <w:jc w:val="both"/>
              <w:rPr>
                <w:rFonts w:hint="default"/>
                <w:highlight w:val="none"/>
              </w:rPr>
            </w:pPr>
            <w:r>
              <w:rPr>
                <w:rFonts w:ascii="仿宋_GB2312" w:hAnsi="仿宋_GB2312" w:eastAsia="仿宋_GB2312" w:cs="仿宋_GB2312"/>
                <w:sz w:val="19"/>
                <w:highlight w:val="none"/>
              </w:rPr>
              <w:t>（4）灌溉应一次浇透，相对均匀,不应出现明显的局部干旱或积水现象（控花时期除外）。</w:t>
            </w:r>
          </w:p>
          <w:p>
            <w:pPr>
              <w:pStyle w:val="7"/>
              <w:ind w:firstLine="400"/>
              <w:jc w:val="both"/>
              <w:rPr>
                <w:rFonts w:hint="default"/>
                <w:highlight w:val="none"/>
              </w:rPr>
            </w:pPr>
            <w:r>
              <w:rPr>
                <w:rFonts w:ascii="仿宋_GB2312" w:hAnsi="仿宋_GB2312" w:eastAsia="仿宋_GB2312" w:cs="仿宋_GB2312"/>
                <w:sz w:val="19"/>
                <w:highlight w:val="none"/>
              </w:rPr>
              <w:t>（5）夏秋季宜早、晚灌溉，冬季及早春宜中午灌溉。</w:t>
            </w:r>
          </w:p>
          <w:p>
            <w:pPr>
              <w:pStyle w:val="7"/>
              <w:ind w:firstLine="400"/>
              <w:jc w:val="both"/>
              <w:rPr>
                <w:rFonts w:hint="default"/>
                <w:highlight w:val="none"/>
              </w:rPr>
            </w:pPr>
            <w:r>
              <w:rPr>
                <w:rFonts w:ascii="仿宋_GB2312" w:hAnsi="仿宋_GB2312" w:eastAsia="仿宋_GB2312" w:cs="仿宋_GB2312"/>
                <w:sz w:val="19"/>
                <w:highlight w:val="none"/>
              </w:rPr>
              <w:t>（6）对移植过程中根系受到损伤的植株，水分管理应更精细，可适当进行叶面喷雾。</w:t>
            </w:r>
          </w:p>
          <w:p>
            <w:pPr>
              <w:pStyle w:val="7"/>
              <w:ind w:firstLine="400"/>
              <w:jc w:val="both"/>
              <w:rPr>
                <w:rFonts w:hint="default"/>
                <w:highlight w:val="none"/>
              </w:rPr>
            </w:pPr>
            <w:r>
              <w:rPr>
                <w:rFonts w:ascii="仿宋_GB2312" w:hAnsi="仿宋_GB2312" w:eastAsia="仿宋_GB2312" w:cs="仿宋_GB2312"/>
                <w:sz w:val="19"/>
                <w:highlight w:val="none"/>
              </w:rPr>
              <w:t>（7）经常检查排水系统，避免植株浸水。暴雨后及时排除积水。</w:t>
            </w:r>
          </w:p>
          <w:p>
            <w:pPr>
              <w:pStyle w:val="7"/>
              <w:ind w:firstLine="400"/>
              <w:jc w:val="both"/>
              <w:rPr>
                <w:rFonts w:hint="default"/>
                <w:highlight w:val="none"/>
              </w:rPr>
            </w:pPr>
            <w:r>
              <w:rPr>
                <w:rFonts w:ascii="仿宋_GB2312" w:hAnsi="仿宋_GB2312" w:eastAsia="仿宋_GB2312" w:cs="仿宋_GB2312"/>
                <w:sz w:val="19"/>
                <w:highlight w:val="none"/>
              </w:rPr>
              <w:t>（8）肥料须符合国家相关肥料标准。施肥时需要注意以下几点：薄肥勤施，避免浓肥烧根；施肥最好在晴天的傍晚进行，避免在高温时段施肥。有机肥需充分腐熟后使用，以免滋生细菌和害虫。沿花盆边缘施肥，避免直接接触根系。</w:t>
            </w:r>
          </w:p>
          <w:p>
            <w:pPr>
              <w:pStyle w:val="7"/>
              <w:ind w:firstLine="402"/>
              <w:jc w:val="both"/>
              <w:rPr>
                <w:rFonts w:hint="default"/>
                <w:highlight w:val="none"/>
              </w:rPr>
            </w:pPr>
            <w:r>
              <w:rPr>
                <w:rFonts w:ascii="仿宋_GB2312" w:hAnsi="仿宋_GB2312" w:eastAsia="仿宋_GB2312" w:cs="仿宋_GB2312"/>
                <w:b/>
                <w:sz w:val="19"/>
                <w:highlight w:val="none"/>
              </w:rPr>
              <w:t>三、基质管理</w:t>
            </w:r>
          </w:p>
          <w:p>
            <w:pPr>
              <w:pStyle w:val="7"/>
              <w:ind w:firstLine="400"/>
              <w:jc w:val="both"/>
              <w:rPr>
                <w:rFonts w:hint="default"/>
                <w:highlight w:val="none"/>
              </w:rPr>
            </w:pPr>
            <w:r>
              <w:rPr>
                <w:rFonts w:ascii="仿宋_GB2312" w:hAnsi="仿宋_GB2312" w:eastAsia="仿宋_GB2312" w:cs="仿宋_GB2312"/>
                <w:sz w:val="19"/>
                <w:highlight w:val="none"/>
              </w:rPr>
              <w:t>每年分别在3月份和10月份对栽植基质进行松土，并施用能够增加有机质含量和改善透气性的土壤改良剂。</w:t>
            </w:r>
          </w:p>
          <w:p>
            <w:pPr>
              <w:pStyle w:val="7"/>
              <w:ind w:firstLine="381" w:firstLineChars="200"/>
              <w:jc w:val="both"/>
              <w:rPr>
                <w:rFonts w:hint="default"/>
                <w:highlight w:val="none"/>
              </w:rPr>
            </w:pPr>
            <w:r>
              <w:rPr>
                <w:rFonts w:ascii="仿宋_GB2312" w:hAnsi="仿宋_GB2312" w:eastAsia="仿宋_GB2312" w:cs="仿宋_GB2312"/>
                <w:b/>
                <w:sz w:val="19"/>
                <w:highlight w:val="none"/>
              </w:rPr>
              <w:t>四、养护修剪</w:t>
            </w:r>
          </w:p>
          <w:p>
            <w:pPr>
              <w:pStyle w:val="7"/>
              <w:ind w:firstLine="400"/>
              <w:jc w:val="both"/>
              <w:rPr>
                <w:rFonts w:hint="default"/>
                <w:highlight w:val="none"/>
              </w:rPr>
            </w:pPr>
            <w:r>
              <w:rPr>
                <w:rFonts w:ascii="仿宋_GB2312" w:hAnsi="仿宋_GB2312" w:eastAsia="仿宋_GB2312" w:cs="仿宋_GB2312"/>
                <w:sz w:val="19"/>
                <w:highlight w:val="none"/>
              </w:rPr>
              <w:t>（1）苗木应修剪及时，平整、轮廓清晰，边缘整齐自然，线条流畅。调节苗木通风透光和肥水分配，促进分枝和花芽形成。</w:t>
            </w:r>
          </w:p>
          <w:p>
            <w:pPr>
              <w:pStyle w:val="7"/>
              <w:ind w:firstLine="400"/>
              <w:jc w:val="both"/>
              <w:rPr>
                <w:rFonts w:hint="default"/>
                <w:highlight w:val="none"/>
              </w:rPr>
            </w:pPr>
            <w:r>
              <w:rPr>
                <w:rFonts w:ascii="仿宋_GB2312" w:hAnsi="仿宋_GB2312" w:eastAsia="仿宋_GB2312" w:cs="仿宋_GB2312"/>
                <w:sz w:val="19"/>
                <w:highlight w:val="none"/>
              </w:rPr>
              <w:t>（2）对于桥梁外侧影响行车和行人安全的下垂枝条，应及时修剪。</w:t>
            </w:r>
          </w:p>
          <w:p>
            <w:pPr>
              <w:pStyle w:val="7"/>
              <w:ind w:firstLine="381" w:firstLineChars="200"/>
              <w:jc w:val="both"/>
              <w:rPr>
                <w:rFonts w:hint="default"/>
                <w:b/>
                <w:bCs/>
                <w:color w:val="auto"/>
                <w:highlight w:val="none"/>
              </w:rPr>
            </w:pPr>
            <w:r>
              <w:rPr>
                <w:rFonts w:ascii="仿宋_GB2312" w:hAnsi="仿宋_GB2312" w:eastAsia="仿宋_GB2312" w:cs="仿宋_GB2312"/>
                <w:b/>
                <w:bCs/>
                <w:color w:val="auto"/>
                <w:sz w:val="19"/>
                <w:highlight w:val="none"/>
              </w:rPr>
              <w:t>五、补植苗木</w:t>
            </w:r>
          </w:p>
          <w:p>
            <w:pPr>
              <w:pStyle w:val="7"/>
              <w:ind w:firstLine="400"/>
              <w:jc w:val="both"/>
              <w:rPr>
                <w:rFonts w:hint="default"/>
                <w:color w:val="auto"/>
                <w:highlight w:val="none"/>
              </w:rPr>
            </w:pPr>
            <w:r>
              <w:rPr>
                <w:rFonts w:ascii="仿宋_GB2312" w:hAnsi="仿宋_GB2312" w:eastAsia="仿宋_GB2312" w:cs="仿宋_GB2312"/>
                <w:color w:val="auto"/>
                <w:sz w:val="19"/>
                <w:highlight w:val="none"/>
              </w:rPr>
              <w:t>（2）各种原因引起死亡、残缺的植株，养护单位应在两天内进行补植和更换。</w:t>
            </w:r>
          </w:p>
          <w:p>
            <w:pPr>
              <w:pStyle w:val="7"/>
              <w:ind w:firstLine="400"/>
              <w:jc w:val="both"/>
              <w:rPr>
                <w:rFonts w:hint="default"/>
                <w:color w:val="auto"/>
                <w:highlight w:val="none"/>
              </w:rPr>
            </w:pPr>
            <w:r>
              <w:rPr>
                <w:rFonts w:ascii="仿宋_GB2312" w:hAnsi="仿宋_GB2312" w:eastAsia="仿宋_GB2312" w:cs="仿宋_GB2312"/>
                <w:color w:val="auto"/>
                <w:sz w:val="19"/>
                <w:highlight w:val="none"/>
              </w:rPr>
              <w:t>（3）补植后应及时浇透水并于生长稳定后进行施肥。</w:t>
            </w:r>
          </w:p>
          <w:p>
            <w:pPr>
              <w:pStyle w:val="7"/>
              <w:ind w:firstLine="400"/>
              <w:jc w:val="both"/>
              <w:rPr>
                <w:rFonts w:hint="default"/>
                <w:color w:val="auto"/>
                <w:highlight w:val="none"/>
              </w:rPr>
            </w:pPr>
            <w:r>
              <w:rPr>
                <w:rFonts w:ascii="仿宋_GB2312" w:hAnsi="仿宋_GB2312" w:eastAsia="仿宋_GB2312" w:cs="仿宋_GB2312"/>
                <w:color w:val="auto"/>
                <w:sz w:val="19"/>
                <w:highlight w:val="none"/>
              </w:rPr>
              <w:t>（4）补植的苗木，应选用原来的品种，规格也应相近似，若改变品种或规格则应与原来的景观相协调。</w:t>
            </w:r>
          </w:p>
          <w:p>
            <w:pPr>
              <w:pStyle w:val="7"/>
              <w:ind w:firstLine="381" w:firstLineChars="200"/>
              <w:jc w:val="both"/>
              <w:rPr>
                <w:rFonts w:hint="default"/>
                <w:b/>
                <w:bCs/>
                <w:color w:val="auto"/>
                <w:highlight w:val="none"/>
              </w:rPr>
            </w:pPr>
            <w:r>
              <w:rPr>
                <w:rFonts w:ascii="仿宋_GB2312" w:hAnsi="仿宋_GB2312" w:eastAsia="仿宋_GB2312" w:cs="仿宋_GB2312"/>
                <w:b/>
                <w:bCs/>
                <w:color w:val="auto"/>
                <w:sz w:val="19"/>
                <w:highlight w:val="none"/>
              </w:rPr>
              <w:t>六、防寒措施</w:t>
            </w:r>
          </w:p>
          <w:p>
            <w:pPr>
              <w:pStyle w:val="7"/>
              <w:ind w:firstLine="400"/>
              <w:jc w:val="both"/>
              <w:rPr>
                <w:rFonts w:hint="default"/>
                <w:color w:val="auto"/>
                <w:highlight w:val="none"/>
              </w:rPr>
            </w:pPr>
            <w:r>
              <w:rPr>
                <w:rFonts w:ascii="仿宋_GB2312" w:hAnsi="仿宋_GB2312" w:eastAsia="仿宋_GB2312" w:cs="仿宋_GB2312"/>
                <w:color w:val="auto"/>
                <w:sz w:val="19"/>
                <w:highlight w:val="none"/>
              </w:rPr>
              <w:t>（1）应在每次寒潮到来前喷施一到两次抗寒剂。</w:t>
            </w:r>
          </w:p>
          <w:p>
            <w:pPr>
              <w:pStyle w:val="7"/>
              <w:ind w:firstLine="400"/>
              <w:jc w:val="both"/>
              <w:rPr>
                <w:rFonts w:hint="default"/>
                <w:color w:val="auto"/>
                <w:highlight w:val="none"/>
              </w:rPr>
            </w:pPr>
            <w:r>
              <w:rPr>
                <w:rFonts w:ascii="仿宋_GB2312" w:hAnsi="仿宋_GB2312" w:eastAsia="仿宋_GB2312" w:cs="仿宋_GB2312"/>
                <w:color w:val="auto"/>
                <w:sz w:val="19"/>
                <w:highlight w:val="none"/>
              </w:rPr>
              <w:t>（2）10月底采取根外追肥的形式喷施0.1%的磷酸二氢钾水溶液，每周一次，连续喷施四次。</w:t>
            </w:r>
          </w:p>
          <w:p>
            <w:pPr>
              <w:pStyle w:val="7"/>
              <w:ind w:firstLine="400"/>
              <w:jc w:val="both"/>
              <w:rPr>
                <w:rFonts w:hint="default"/>
                <w:color w:val="auto"/>
                <w:highlight w:val="none"/>
              </w:rPr>
            </w:pPr>
            <w:r>
              <w:rPr>
                <w:rFonts w:ascii="仿宋_GB2312" w:hAnsi="仿宋_GB2312" w:eastAsia="仿宋_GB2312" w:cs="仿宋_GB2312"/>
                <w:color w:val="auto"/>
                <w:sz w:val="19"/>
                <w:highlight w:val="none"/>
              </w:rPr>
              <w:t>（3）为增强植物的抗寒性，在11月开始的追肥应增加钾肥的比例。</w:t>
            </w:r>
          </w:p>
          <w:p>
            <w:pPr>
              <w:pStyle w:val="7"/>
              <w:ind w:firstLine="400"/>
              <w:jc w:val="both"/>
              <w:rPr>
                <w:rFonts w:hint="default"/>
                <w:color w:val="auto"/>
                <w:highlight w:val="none"/>
              </w:rPr>
            </w:pPr>
            <w:r>
              <w:rPr>
                <w:rFonts w:ascii="仿宋_GB2312" w:hAnsi="仿宋_GB2312" w:eastAsia="仿宋_GB2312" w:cs="仿宋_GB2312"/>
                <w:color w:val="auto"/>
                <w:sz w:val="19"/>
                <w:highlight w:val="none"/>
              </w:rPr>
              <w:t>（4）若遇极端天气应结合增加覆盖绿网等物理措施进行物理防寒。</w:t>
            </w:r>
          </w:p>
          <w:p>
            <w:pPr>
              <w:pStyle w:val="7"/>
              <w:ind w:firstLine="400"/>
              <w:jc w:val="both"/>
              <w:rPr>
                <w:rFonts w:hint="default"/>
                <w:b/>
                <w:bCs/>
                <w:color w:val="auto"/>
                <w:highlight w:val="none"/>
              </w:rPr>
            </w:pPr>
            <w:r>
              <w:rPr>
                <w:rFonts w:ascii="仿宋_GB2312" w:hAnsi="仿宋_GB2312" w:eastAsia="仿宋_GB2312" w:cs="仿宋_GB2312"/>
                <w:b/>
                <w:bCs/>
                <w:color w:val="auto"/>
                <w:sz w:val="19"/>
                <w:highlight w:val="none"/>
              </w:rPr>
              <w:t>七、除草与保洁</w:t>
            </w:r>
          </w:p>
          <w:p>
            <w:pPr>
              <w:pStyle w:val="7"/>
              <w:ind w:firstLine="380" w:firstLineChars="200"/>
              <w:jc w:val="both"/>
              <w:rPr>
                <w:rFonts w:hint="default"/>
                <w:color w:val="auto"/>
                <w:highlight w:val="none"/>
              </w:rPr>
            </w:pPr>
            <w:r>
              <w:rPr>
                <w:rFonts w:ascii="仿宋_GB2312" w:hAnsi="仿宋_GB2312" w:eastAsia="仿宋_GB2312" w:cs="仿宋_GB2312"/>
                <w:color w:val="auto"/>
                <w:sz w:val="19"/>
                <w:highlight w:val="none"/>
              </w:rPr>
              <w:t>（1）种植槽的杂草应及时铲除，无垃圾杂物。</w:t>
            </w:r>
          </w:p>
          <w:p>
            <w:pPr>
              <w:pStyle w:val="7"/>
              <w:ind w:firstLine="400"/>
              <w:jc w:val="both"/>
              <w:rPr>
                <w:rFonts w:hint="default"/>
                <w:color w:val="auto"/>
                <w:highlight w:val="none"/>
              </w:rPr>
            </w:pPr>
            <w:r>
              <w:rPr>
                <w:rFonts w:ascii="仿宋_GB2312" w:hAnsi="仿宋_GB2312" w:eastAsia="仿宋_GB2312" w:cs="仿宋_GB2312"/>
                <w:color w:val="auto"/>
                <w:sz w:val="19"/>
                <w:highlight w:val="none"/>
              </w:rPr>
              <w:t>（2）经常检查病虫害的发生情况，发现病虫害应鉴定并喷施相应的药剂，一般连续喷药三次，5d～7d一次，遇雨应补喷。</w:t>
            </w:r>
          </w:p>
          <w:p>
            <w:pPr>
              <w:pStyle w:val="7"/>
              <w:ind w:firstLine="400"/>
              <w:jc w:val="both"/>
              <w:rPr>
                <w:rFonts w:hint="default"/>
                <w:color w:val="auto"/>
                <w:highlight w:val="none"/>
              </w:rPr>
            </w:pPr>
            <w:r>
              <w:rPr>
                <w:rFonts w:ascii="仿宋_GB2312" w:hAnsi="仿宋_GB2312" w:eastAsia="仿宋_GB2312" w:cs="仿宋_GB2312"/>
                <w:color w:val="auto"/>
                <w:sz w:val="19"/>
                <w:highlight w:val="none"/>
              </w:rPr>
              <w:t>（3）化学农药的使用应符合《农药安全使用规定》的要求。</w:t>
            </w:r>
          </w:p>
          <w:p>
            <w:pPr>
              <w:pStyle w:val="7"/>
              <w:ind w:firstLine="400"/>
              <w:jc w:val="both"/>
              <w:rPr>
                <w:rFonts w:hint="default"/>
                <w:color w:val="auto"/>
                <w:highlight w:val="none"/>
              </w:rPr>
            </w:pPr>
            <w:r>
              <w:rPr>
                <w:rFonts w:ascii="仿宋_GB2312" w:hAnsi="仿宋_GB2312" w:eastAsia="仿宋_GB2312" w:cs="仿宋_GB2312"/>
                <w:color w:val="auto"/>
                <w:sz w:val="19"/>
                <w:highlight w:val="none"/>
              </w:rPr>
              <w:t>（4）应采取综合治理的对策控制鼠害。及时清理鼠类隐蔽的场所，清除种植槽中可供鼠类食用的食物，减少种植槽对鼠类种群的容纳量。</w:t>
            </w:r>
          </w:p>
          <w:p>
            <w:pPr>
              <w:pStyle w:val="7"/>
              <w:ind w:firstLine="400"/>
              <w:jc w:val="both"/>
              <w:rPr>
                <w:rFonts w:hint="default"/>
                <w:b/>
                <w:bCs/>
                <w:color w:val="auto"/>
                <w:highlight w:val="none"/>
              </w:rPr>
            </w:pPr>
            <w:r>
              <w:rPr>
                <w:rFonts w:ascii="仿宋_GB2312" w:hAnsi="仿宋_GB2312" w:eastAsia="仿宋_GB2312" w:cs="仿宋_GB2312"/>
                <w:b/>
                <w:bCs/>
                <w:color w:val="auto"/>
                <w:sz w:val="19"/>
                <w:highlight w:val="none"/>
              </w:rPr>
              <w:t>八、安全防护措施</w:t>
            </w:r>
          </w:p>
          <w:p>
            <w:pPr>
              <w:pStyle w:val="7"/>
              <w:ind w:firstLine="400"/>
              <w:jc w:val="both"/>
              <w:rPr>
                <w:rFonts w:hint="default"/>
                <w:color w:val="auto"/>
                <w:highlight w:val="none"/>
              </w:rPr>
            </w:pPr>
            <w:r>
              <w:rPr>
                <w:rFonts w:ascii="仿宋_GB2312" w:hAnsi="仿宋_GB2312" w:eastAsia="仿宋_GB2312" w:cs="仿宋_GB2312"/>
                <w:color w:val="auto"/>
                <w:sz w:val="19"/>
                <w:highlight w:val="none"/>
              </w:rPr>
              <w:t>（1）个人防护。养护人员必须佩戴安全帽、安全带等个人防护装备。穿着反光工作服，提高在桥梁上的可见度。</w:t>
            </w:r>
          </w:p>
          <w:p>
            <w:pPr>
              <w:pStyle w:val="7"/>
              <w:ind w:firstLine="400"/>
              <w:jc w:val="both"/>
              <w:rPr>
                <w:rFonts w:hint="default"/>
                <w:color w:val="auto"/>
                <w:highlight w:val="none"/>
              </w:rPr>
            </w:pPr>
            <w:r>
              <w:rPr>
                <w:rFonts w:ascii="仿宋_GB2312" w:hAnsi="仿宋_GB2312" w:eastAsia="仿宋_GB2312" w:cs="仿宋_GB2312"/>
                <w:color w:val="auto"/>
                <w:sz w:val="19"/>
                <w:highlight w:val="none"/>
              </w:rPr>
              <w:t>（2）作业许可。获得相关部门的作业许可，遵循规定的作业时间和流程。</w:t>
            </w:r>
          </w:p>
          <w:p>
            <w:pPr>
              <w:pStyle w:val="7"/>
              <w:ind w:firstLine="400"/>
              <w:jc w:val="both"/>
              <w:rPr>
                <w:rFonts w:hint="default"/>
                <w:color w:val="auto"/>
                <w:highlight w:val="none"/>
              </w:rPr>
            </w:pPr>
            <w:r>
              <w:rPr>
                <w:rFonts w:ascii="仿宋_GB2312" w:hAnsi="仿宋_GB2312" w:eastAsia="仿宋_GB2312" w:cs="仿宋_GB2312"/>
                <w:color w:val="auto"/>
                <w:sz w:val="19"/>
                <w:highlight w:val="none"/>
              </w:rPr>
              <w:t>（3）交通警示在作业区域设置明显的交通警示标志，如警示灯、路障等，提醒过往车辆注意。</w:t>
            </w:r>
          </w:p>
          <w:p>
            <w:pPr>
              <w:pStyle w:val="7"/>
              <w:ind w:firstLine="400"/>
              <w:jc w:val="both"/>
              <w:rPr>
                <w:rFonts w:hint="default"/>
                <w:color w:val="auto"/>
                <w:highlight w:val="none"/>
              </w:rPr>
            </w:pPr>
            <w:r>
              <w:rPr>
                <w:rFonts w:ascii="仿宋_GB2312" w:hAnsi="仿宋_GB2312" w:eastAsia="仿宋_GB2312" w:cs="仿宋_GB2312"/>
                <w:color w:val="auto"/>
                <w:sz w:val="19"/>
                <w:highlight w:val="none"/>
              </w:rPr>
              <w:t>（4）工具安全。确保使用的工具完好无损，避免工具掉落造成下方交通隐患。</w:t>
            </w:r>
          </w:p>
          <w:p>
            <w:pPr>
              <w:pStyle w:val="7"/>
              <w:ind w:firstLine="400"/>
              <w:jc w:val="both"/>
              <w:rPr>
                <w:rFonts w:hint="default"/>
                <w:color w:val="auto"/>
                <w:highlight w:val="none"/>
              </w:rPr>
            </w:pPr>
            <w:r>
              <w:rPr>
                <w:rFonts w:ascii="仿宋_GB2312" w:hAnsi="仿宋_GB2312" w:eastAsia="仿宋_GB2312" w:cs="仿宋_GB2312"/>
                <w:color w:val="auto"/>
                <w:sz w:val="19"/>
                <w:highlight w:val="none"/>
              </w:rPr>
              <w:t>（5）天气条件。避免在恶劣天气条件下进行养护作业，如大风、暴雨、雷电等。</w:t>
            </w:r>
          </w:p>
          <w:p>
            <w:pPr>
              <w:pStyle w:val="7"/>
              <w:ind w:firstLine="400"/>
              <w:jc w:val="both"/>
              <w:rPr>
                <w:rFonts w:hint="default"/>
                <w:color w:val="auto"/>
                <w:highlight w:val="none"/>
              </w:rPr>
            </w:pPr>
            <w:r>
              <w:rPr>
                <w:rFonts w:ascii="仿宋_GB2312" w:hAnsi="仿宋_GB2312" w:eastAsia="仿宋_GB2312" w:cs="仿宋_GB2312"/>
                <w:color w:val="auto"/>
                <w:sz w:val="19"/>
                <w:highlight w:val="none"/>
              </w:rPr>
              <w:t>（6）培训与教育。养护人员应接受专业的安全培训，熟悉桥梁养护的安全规范和应急处理措施。</w:t>
            </w:r>
          </w:p>
          <w:p>
            <w:pPr>
              <w:pStyle w:val="7"/>
              <w:ind w:firstLine="400"/>
              <w:jc w:val="both"/>
              <w:rPr>
                <w:rFonts w:hint="default"/>
                <w:color w:val="auto"/>
                <w:highlight w:val="none"/>
              </w:rPr>
            </w:pPr>
            <w:r>
              <w:rPr>
                <w:rFonts w:ascii="仿宋_GB2312" w:hAnsi="仿宋_GB2312" w:eastAsia="仿宋_GB2312" w:cs="仿宋_GB2312"/>
                <w:color w:val="auto"/>
                <w:sz w:val="19"/>
                <w:highlight w:val="none"/>
              </w:rPr>
              <w:t>（7）通讯保障。作业人员配备有效的通讯设备，以便在紧急情况下及时与外界联系。</w:t>
            </w:r>
          </w:p>
          <w:p>
            <w:pPr>
              <w:pStyle w:val="7"/>
              <w:ind w:firstLine="400"/>
              <w:jc w:val="both"/>
              <w:rPr>
                <w:rFonts w:hint="default"/>
                <w:color w:val="auto"/>
                <w:highlight w:val="none"/>
              </w:rPr>
            </w:pPr>
            <w:r>
              <w:rPr>
                <w:rFonts w:ascii="仿宋_GB2312" w:hAnsi="仿宋_GB2312" w:eastAsia="仿宋_GB2312" w:cs="仿宋_GB2312"/>
                <w:color w:val="auto"/>
                <w:sz w:val="19"/>
                <w:highlight w:val="none"/>
              </w:rPr>
              <w:t>（8）在台风季节，应逐株检查植株，凡有安全隐患的应提前重新绑扎固定。</w:t>
            </w:r>
          </w:p>
          <w:p>
            <w:pPr>
              <w:pStyle w:val="7"/>
              <w:ind w:firstLine="400"/>
              <w:jc w:val="both"/>
              <w:rPr>
                <w:rFonts w:hint="default"/>
                <w:b/>
                <w:bCs/>
                <w:color w:val="auto"/>
                <w:highlight w:val="none"/>
              </w:rPr>
            </w:pPr>
            <w:r>
              <w:rPr>
                <w:rFonts w:ascii="仿宋_GB2312" w:hAnsi="仿宋_GB2312" w:eastAsia="仿宋_GB2312" w:cs="仿宋_GB2312"/>
                <w:b/>
                <w:bCs/>
                <w:color w:val="auto"/>
                <w:sz w:val="19"/>
                <w:highlight w:val="none"/>
              </w:rPr>
              <w:t>九、档案资料管理</w:t>
            </w:r>
          </w:p>
          <w:p>
            <w:pPr>
              <w:pStyle w:val="7"/>
              <w:ind w:firstLine="380" w:firstLineChars="200"/>
              <w:jc w:val="both"/>
              <w:rPr>
                <w:rFonts w:hint="default"/>
                <w:highlight w:val="none"/>
              </w:rPr>
            </w:pPr>
            <w:r>
              <w:rPr>
                <w:rFonts w:ascii="仿宋_GB2312" w:hAnsi="仿宋_GB2312" w:eastAsia="仿宋_GB2312" w:cs="仿宋_GB2312"/>
                <w:color w:val="auto"/>
                <w:sz w:val="19"/>
                <w:highlight w:val="none"/>
              </w:rPr>
              <w:t>市区三角梅养护服务项</w:t>
            </w:r>
            <w:r>
              <w:rPr>
                <w:rFonts w:ascii="仿宋_GB2312" w:hAnsi="仿宋_GB2312" w:eastAsia="仿宋_GB2312" w:cs="仿宋_GB2312"/>
                <w:sz w:val="19"/>
                <w:highlight w:val="none"/>
              </w:rPr>
              <w:t>目所有文件，包括招投标合同、服务合同、安全、培训、养护的各项记录、验收等应整理存档。</w:t>
            </w:r>
          </w:p>
        </w:tc>
      </w:tr>
    </w:tbl>
    <w:p>
      <w:pPr>
        <w:pStyle w:val="7"/>
        <w:jc w:val="both"/>
        <w:outlineLvl w:val="2"/>
        <w:rPr>
          <w:highlight w:val="none"/>
        </w:rPr>
      </w:pPr>
      <w:r>
        <w:rPr>
          <w:rFonts w:ascii="仿宋_GB2312" w:hAnsi="仿宋_GB2312" w:eastAsia="仿宋_GB2312" w:cs="仿宋_GB2312"/>
          <w:b/>
          <w:sz w:val="28"/>
          <w:highlight w:val="none"/>
        </w:rPr>
        <w:t>四、其他事项</w:t>
      </w:r>
    </w:p>
    <w:p>
      <w:pPr>
        <w:pStyle w:val="7"/>
        <w:ind w:firstLine="480"/>
        <w:jc w:val="both"/>
        <w:rPr>
          <w:highlight w:val="none"/>
        </w:rPr>
      </w:pPr>
      <w:r>
        <w:rPr>
          <w:rFonts w:ascii="仿宋_GB2312" w:hAnsi="仿宋_GB2312" w:eastAsia="仿宋_GB2312" w:cs="仿宋_GB2312"/>
          <w:highlight w:val="none"/>
        </w:rPr>
        <w:t>1、除招标文件另有规定外，若出现有关法律、法规和规章有强制性规定但招标文件未列明的情形，则投标人应按照有关法律、法规和规章强制性规定执行。</w:t>
      </w:r>
    </w:p>
    <w:p>
      <w:pPr>
        <w:pStyle w:val="7"/>
        <w:ind w:firstLine="480"/>
        <w:jc w:val="both"/>
        <w:rPr>
          <w:highlight w:val="none"/>
        </w:rPr>
      </w:pPr>
      <w:r>
        <w:rPr>
          <w:rFonts w:ascii="仿宋_GB2312" w:hAnsi="仿宋_GB2312" w:eastAsia="仿宋_GB2312" w:cs="仿宋_GB2312"/>
          <w:highlight w:val="none"/>
        </w:rPr>
        <w:t>2、其他：</w:t>
      </w:r>
    </w:p>
    <w:p>
      <w:pPr>
        <w:pStyle w:val="7"/>
        <w:ind w:firstLine="480"/>
        <w:jc w:val="both"/>
        <w:rPr>
          <w:highlight w:val="none"/>
        </w:rPr>
      </w:pPr>
      <w:r>
        <w:rPr>
          <w:rFonts w:ascii="仿宋_GB2312" w:hAnsi="仿宋_GB2312" w:eastAsia="仿宋_GB2312" w:cs="仿宋_GB2312"/>
          <w:highlight w:val="none"/>
        </w:rPr>
        <w:t>无</w:t>
      </w: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思源黑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思源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思源黑体">
    <w:panose1 w:val="020B0500000000000000"/>
    <w:charset w:val="86"/>
    <w:family w:val="auto"/>
    <w:pitch w:val="default"/>
    <w:sig w:usb0="30000083" w:usb1="2BDF3C10" w:usb2="00000016" w:usb3="00000000" w:csb0="602E0107"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4125A"/>
    <w:rsid w:val="1AFDD878"/>
    <w:rsid w:val="316EBEF8"/>
    <w:rsid w:val="3FBF7AE8"/>
    <w:rsid w:val="7F7D5D46"/>
    <w:rsid w:val="7FF4125A"/>
    <w:rsid w:val="FA1E829B"/>
    <w:rsid w:val="FF78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2026-06-25T15:56:00Z</dcterms:created>
  <dc:creator>uos</dc:creator>
  <cp:lastModifiedBy>uos</cp:lastModifiedBy>
  <cp:lastPrinted>2026-07-01T01:08:00Z</cp:lastPrinted>
  <dcterms:modified xsi:type="dcterms:W3CDTF">2026-07-01T10:52:45Z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2052-11.1.0.11723</vt:lpwstr>
  </property>
</Properties>
</file>