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sz w:val="36"/>
          <w:szCs w:val="36"/>
          <w:lang w:eastAsia="zh-CN"/>
        </w:rPr>
      </w:pPr>
      <w:r>
        <w:rPr>
          <w:rFonts w:hint="eastAsia" w:ascii="仿宋_GB2312" w:hAnsi="仿宋_GB2312" w:eastAsia="仿宋_GB2312" w:cs="仿宋_GB2312"/>
          <w:b/>
          <w:bCs/>
          <w:sz w:val="36"/>
          <w:szCs w:val="36"/>
        </w:rPr>
        <w:t>采购</w:t>
      </w:r>
      <w:r>
        <w:rPr>
          <w:rFonts w:hint="eastAsia" w:ascii="仿宋_GB2312" w:hAnsi="仿宋_GB2312" w:eastAsia="仿宋_GB2312" w:cs="仿宋_GB2312"/>
          <w:b/>
          <w:bCs/>
          <w:sz w:val="36"/>
          <w:szCs w:val="36"/>
          <w:lang w:eastAsia="zh-CN"/>
        </w:rPr>
        <w:t>需求</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一、（根据本项目实际情况，填写“采购标的”或“项目概况”）</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1、项目名称：古树名木铭牌更新及信息维护</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根据《古树名木保护条例》及《福州市古树名木保护管理办法》相关规定，为进一步规范古树名木保护管理，夯实基础数据，完善标识标牌，现计划开展古树名木铭牌更新、基础信息更新及相关信息化建设工作。本项目服务范围涵盖福州市仓山区、台江区、晋安区、鼓楼区、马尾区1800株古树名木，包括树龄鉴定、信息采集、档案更新、铭牌制作与安装以及对区县上报的古树名木调查成果进行市级查验等内容。</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二、技术要求</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服务内容：</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供应商需具备相应的技术能力、人员配置和项目经验，确保在规定时间内完成全部任务。</w:t>
      </w:r>
    </w:p>
    <w:p>
      <w:pPr>
        <w:keepNext w:val="0"/>
        <w:keepLines w:val="0"/>
        <w:pageBreakBefore w:val="0"/>
        <w:widowControl w:val="0"/>
        <w:kinsoku/>
        <w:wordWrap/>
        <w:overflowPunct/>
        <w:topLinePunct w:val="0"/>
        <w:autoSpaceDE/>
        <w:autoSpaceDN/>
        <w:bidi w:val="0"/>
        <w:adjustRightInd/>
        <w:snapToGrid/>
        <w:spacing w:line="240" w:lineRule="auto"/>
        <w:ind w:firstLine="481" w:firstLineChars="200"/>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（一）古树名木基础信息更新</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1.古树树龄再分级（针对树龄300年以上古树）</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组建古树名木鉴定小组，每次鉴定人员应配备不少于3名高级及以上职称专家。完成约100株古树的树龄核定与分级工作。古树名木鉴定小组高级职称人员允许外聘，专业要求为林学、园艺、植物保护、园林等植物生产类专业，成员名单需经采购人确认后方可作业。</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2.增加和调整古树名木一树一档的相关信息</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按照《福建省古树名木资源普查技术方案》的技术要求，对福州市仓山区、台江区、晋安区、鼓楼区、马尾区1800株古树名木通过实地调查新增和更新“一树一档”信息内容，信息内容以《方案》为准。该工作需配备不少于1名高级及以上职称专业人员、2名中级及以上职称专业人员，专业要求为园林、林业、测绘或相关专业。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3.“一树一档”电子数据更新</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配备专职人员，完成经过调查的古树名木档案更新与数据上传工作。完成树木的档案复核、数据同步与电子档案制作。2026年10月30</w:t>
      </w:r>
      <w:r>
        <w:rPr>
          <w:rFonts w:hint="eastAsia" w:ascii="仿宋_GB2312" w:hAnsi="仿宋_GB2312" w:eastAsia="仿宋_GB2312" w:cs="仿宋_GB2312"/>
          <w:sz w:val="24"/>
          <w:szCs w:val="24"/>
          <w:lang w:eastAsia="zh-CN"/>
        </w:rPr>
        <w:t>日</w:t>
      </w:r>
      <w:r>
        <w:rPr>
          <w:rFonts w:hint="eastAsia" w:ascii="仿宋_GB2312" w:hAnsi="仿宋_GB2312" w:eastAsia="仿宋_GB2312" w:cs="仿宋_GB2312"/>
          <w:sz w:val="24"/>
          <w:szCs w:val="24"/>
        </w:rPr>
        <w:t>之前需完成一树一档的更新，电子数据需同步于多规合一系统、养护监管平台、福建省古树名木智慧管理系统。</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完成对区县上报的古树名木调查成果进行市级查验，查验内容由采购人安排，差旅费需由成交供应商自理。查验所需专家费用从备用金中列支，需遵循福州市专家劳务费用执行标准。</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查验方式包括但不限于利用无人机进行数字化巡检查验，形成查验视频成果。对古树群通过数据处理软件进行单木分割，提取单木的树高、冠幅等特征参数。</w:t>
      </w:r>
    </w:p>
    <w:p>
      <w:pPr>
        <w:keepNext w:val="0"/>
        <w:keepLines w:val="0"/>
        <w:pageBreakBefore w:val="0"/>
        <w:widowControl w:val="0"/>
        <w:kinsoku/>
        <w:wordWrap/>
        <w:overflowPunct/>
        <w:topLinePunct w:val="0"/>
        <w:autoSpaceDE/>
        <w:autoSpaceDN/>
        <w:bidi w:val="0"/>
        <w:adjustRightInd/>
        <w:snapToGrid/>
        <w:spacing w:line="240" w:lineRule="auto"/>
        <w:ind w:firstLine="481" w:firstLineChars="200"/>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（二）古树名木铭牌更新</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1.铭牌制作</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铭牌制作样式应符合采购人提供的模板要求，内容需包含：树木编号、树种名称、学名、科属、树龄、保护等级、养护责任人、挂牌时间、联系电话、挂牌单位、电子信息码等信息。（铭牌材质、工艺、尺寸详见附件。）</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挂绳：304不锈钢弹簧绳。</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2.现场挂牌安装</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挂牌小组应确保铭牌安装牢固、位置准确、信息无误。</w:t>
      </w:r>
    </w:p>
    <w:p>
      <w:pPr>
        <w:keepNext w:val="0"/>
        <w:keepLines w:val="0"/>
        <w:pageBreakBefore w:val="0"/>
        <w:widowControl w:val="0"/>
        <w:kinsoku/>
        <w:wordWrap/>
        <w:overflowPunct/>
        <w:topLinePunct w:val="0"/>
        <w:autoSpaceDE/>
        <w:autoSpaceDN/>
        <w:bidi w:val="0"/>
        <w:adjustRightInd/>
        <w:snapToGrid/>
        <w:spacing w:line="240" w:lineRule="auto"/>
        <w:ind w:firstLine="481" w:firstLineChars="200"/>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（三）技术标准与质量要求</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1.一树一档数据新增和更新需按照《福建省古树名木资源普查技术方案》要求执行。</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2.古树名木勘测数据必须按照《自然资源领域数据安全管理办法》进行保护。</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3.数据格式应符合多规合一系统、养护监管平台、福建省古树名木智慧管理系统接口标准。</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4.铭牌准确率应达到100%。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5.项目完成后需提供完整的纸质与电子档案，并配合完成验收。</w:t>
      </w:r>
    </w:p>
    <w:p>
      <w:pPr>
        <w:keepNext w:val="0"/>
        <w:keepLines w:val="0"/>
        <w:pageBreakBefore w:val="0"/>
        <w:widowControl w:val="0"/>
        <w:kinsoku/>
        <w:wordWrap/>
        <w:overflowPunct/>
        <w:topLinePunct w:val="0"/>
        <w:autoSpaceDE/>
        <w:autoSpaceDN/>
        <w:bidi w:val="0"/>
        <w:adjustRightInd/>
        <w:snapToGrid/>
        <w:spacing w:line="240" w:lineRule="auto"/>
        <w:ind w:firstLine="481" w:firstLineChars="200"/>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（四）服务要求</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服务响应：未经采购人许可，本项目投入人员不得擅自更换，工作期间，要求在12小时内响应采购单位提出的疑问并及时提交解释说明或修改意见。非工作时段可延长至48小时,成交供应商应通过书面、邮件或电话等方式进行响应。如未在规定时间内响应，采购人有权视为成交供应商违约，并可要求成交供应商承担相应责任。</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2、项目负责人须全过程参与项目及各阶段项目成果的交流、汇报等工作。</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成交供应商必须做好工作人员所需要的安全教育及安全措施，保证工作人员的安全，成交供应商工作人员在采购人工作范围内发生事故的一切责任由成交供应商承担。在项目实施过程中发生的事故成交供应商应及时告知采购人，承担事故造成的全部损失和责任，并妥善处理好，因处理不当，导致社会影响的，采购人将按相关规定处理。</w:t>
      </w:r>
    </w:p>
    <w:p>
      <w:pPr>
        <w:keepNext w:val="0"/>
        <w:keepLines w:val="0"/>
        <w:pageBreakBefore w:val="0"/>
        <w:widowControl w:val="0"/>
        <w:kinsoku/>
        <w:wordWrap/>
        <w:overflowPunct/>
        <w:topLinePunct w:val="0"/>
        <w:autoSpaceDE/>
        <w:autoSpaceDN/>
        <w:bidi w:val="0"/>
        <w:adjustRightInd/>
        <w:snapToGrid/>
        <w:spacing w:line="240" w:lineRule="auto"/>
        <w:ind w:firstLine="481" w:firstLineChars="200"/>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★（五）人员要求</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拟投入本项目</w:t>
      </w:r>
      <w:r>
        <w:rPr>
          <w:rFonts w:hint="eastAsia" w:ascii="仿宋_GB2312" w:hAnsi="仿宋_GB2312" w:eastAsia="仿宋_GB2312" w:cs="仿宋_GB2312"/>
          <w:sz w:val="24"/>
          <w:szCs w:val="24"/>
          <w:lang w:eastAsia="zh-CN"/>
        </w:rPr>
        <w:t>的</w:t>
      </w:r>
      <w:r>
        <w:rPr>
          <w:rFonts w:hint="eastAsia" w:ascii="仿宋_GB2312" w:hAnsi="仿宋_GB2312" w:eastAsia="仿宋_GB2312" w:cs="仿宋_GB2312"/>
          <w:sz w:val="24"/>
          <w:szCs w:val="24"/>
        </w:rPr>
        <w:t>项目负责人、技术负责人需具备本科及以上学历，专业类别为园林植物、园艺、植物学、林学、植物保护、森林保护、测绘等相关专业。</w:t>
      </w:r>
    </w:p>
    <w:p>
      <w:pPr>
        <w:keepNext w:val="0"/>
        <w:keepLines w:val="0"/>
        <w:pageBreakBefore w:val="0"/>
        <w:widowControl w:val="0"/>
        <w:kinsoku/>
        <w:wordWrap/>
        <w:overflowPunct/>
        <w:topLinePunct w:val="0"/>
        <w:autoSpaceDE/>
        <w:autoSpaceDN/>
        <w:bidi w:val="0"/>
        <w:adjustRightInd/>
        <w:snapToGrid/>
        <w:spacing w:line="240" w:lineRule="auto"/>
        <w:ind w:firstLine="481" w:firstLineChars="200"/>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（六）验收标准</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1、提交的主要成果</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（1）全部《一树一档》调查表。以及文字、影像、图片（需包含每株全冠鸟瞰图）、电子资料。</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（2）300年以上树龄古树名木分级情况报告</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（3）铭牌安装规范、信息无误、位置合理，提供挂牌照片资料。</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（4）福州市仓山区、台江区、晋安区、鼓楼区、马尾区古树名木资源普查成果报告；市级查验报告。</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上述成果的纸质版的份数按照采购人要求提供，并提供成果电子版1套（成果报告文本为doc格式，附表为Excel格式，图件为jpg、pdf格式，矢量数据为shape、gdb等格式）。</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2、项目成果质量验收</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项目成果须通过专家评审。</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w:t>
      </w:r>
    </w:p>
    <w:p>
      <w:pPr>
        <w:jc w:val="center"/>
        <w:rPr>
          <w:rFonts w:hint="eastAsia" w:ascii="Calibri" w:hAnsi="Calibri" w:eastAsia="宋体" w:cs="Times New Roman"/>
          <w:szCs w:val="24"/>
          <w:lang w:eastAsia="zh-CN"/>
        </w:rPr>
      </w:pPr>
      <w:r>
        <w:rPr>
          <w:rFonts w:hint="eastAsia" w:ascii="仿宋_GB2312" w:hAnsi="仿宋_GB2312" w:eastAsia="仿宋_GB2312" w:cs="仿宋_GB2312"/>
          <w:b w:val="0"/>
          <w:bCs w:val="0"/>
          <w:kern w:val="0"/>
          <w:sz w:val="28"/>
          <w:szCs w:val="28"/>
          <w:highlight w:val="none"/>
          <w:lang w:val="en-US" w:eastAsia="zh-CN"/>
        </w:rPr>
        <w:t>一级保护铭牌（样稿）</w:t>
      </w:r>
      <w:r>
        <w:rPr>
          <w:rFonts w:hint="eastAsia" w:ascii="Calibri" w:hAnsi="Calibri" w:eastAsia="宋体" w:cs="Times New Roman"/>
          <w:szCs w:val="24"/>
          <w:lang w:eastAsia="zh-CN"/>
        </w:rPr>
        <w:drawing>
          <wp:inline distT="0" distB="0" distL="114300" distR="114300">
            <wp:extent cx="4568190" cy="2708910"/>
            <wp:effectExtent l="0" t="0" r="3810" b="15240"/>
            <wp:docPr id="2" name="图片 2" descr="微信图片_2025-08-22_125840_597(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descr="微信图片_2025-08-22_125840_597(1)"/>
                    <pic:cNvPicPr>
                      <a:picLocks noChangeAspect="true"/>
                    </pic:cNvPicPr>
                  </pic:nvPicPr>
                  <pic:blipFill>
                    <a:blip r:embed="rId5"/>
                    <a:srcRect t="4816" b="6254"/>
                    <a:stretch>
                      <a:fillRect/>
                    </a:stretch>
                  </pic:blipFill>
                  <pic:spPr>
                    <a:xfrm>
                      <a:off x="0" y="0"/>
                      <a:ext cx="4568190" cy="2708910"/>
                    </a:xfrm>
                    <a:prstGeom prst="rect">
                      <a:avLst/>
                    </a:prstGeom>
                  </pic:spPr>
                </pic:pic>
              </a:graphicData>
            </a:graphic>
          </wp:inline>
        </w:drawing>
      </w:r>
    </w:p>
    <w:p>
      <w:pPr>
        <w:jc w:val="center"/>
        <w:rPr>
          <w:rFonts w:hint="eastAsia" w:ascii="Calibri" w:hAnsi="Calibri" w:eastAsia="宋体" w:cs="Times New Roman"/>
          <w:szCs w:val="24"/>
          <w:lang w:eastAsia="zh-CN"/>
        </w:rPr>
      </w:pPr>
      <w:r>
        <w:rPr>
          <w:rFonts w:hint="eastAsia" w:ascii="仿宋_GB2312" w:hAnsi="仿宋_GB2312" w:eastAsia="仿宋_GB2312" w:cs="仿宋_GB2312"/>
          <w:b w:val="0"/>
          <w:bCs w:val="0"/>
          <w:kern w:val="0"/>
          <w:sz w:val="28"/>
          <w:szCs w:val="28"/>
          <w:highlight w:val="none"/>
          <w:lang w:val="en-US" w:eastAsia="zh-CN"/>
        </w:rPr>
        <w:t>二级保护铭牌（样稿）</w:t>
      </w:r>
      <w:r>
        <w:rPr>
          <w:rFonts w:hint="eastAsia" w:ascii="Calibri" w:hAnsi="Calibri" w:eastAsia="宋体" w:cs="Times New Roman"/>
          <w:szCs w:val="24"/>
          <w:lang w:eastAsia="zh-CN"/>
        </w:rPr>
        <w:drawing>
          <wp:inline distT="0" distB="0" distL="114300" distR="114300">
            <wp:extent cx="4035425" cy="2695575"/>
            <wp:effectExtent l="0" t="0" r="3175" b="9525"/>
            <wp:docPr id="5" name="图片 5" descr="微信图片_2025-08-22_100654_372(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5" descr="微信图片_2025-08-22_100654_372(1)"/>
                    <pic:cNvPicPr>
                      <a:picLocks noChangeAspect="true"/>
                    </pic:cNvPicPr>
                  </pic:nvPicPr>
                  <pic:blipFill>
                    <a:blip r:embed="rId6"/>
                    <a:srcRect t="2271" b="5044"/>
                    <a:stretch>
                      <a:fillRect/>
                    </a:stretch>
                  </pic:blipFill>
                  <pic:spPr>
                    <a:xfrm>
                      <a:off x="0" y="0"/>
                      <a:ext cx="4035425" cy="2695575"/>
                    </a:xfrm>
                    <a:prstGeom prst="rect">
                      <a:avLst/>
                    </a:prstGeom>
                  </pic:spPr>
                </pic:pic>
              </a:graphicData>
            </a:graphic>
          </wp:inline>
        </w:drawing>
      </w:r>
    </w:p>
    <w:p>
      <w:pPr>
        <w:pStyle w:val="6"/>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说明：1.材质：原生铝；长宽：40X30cm；厚度：1mm；工艺：表面UV印刷；</w:t>
      </w:r>
    </w:p>
    <w:p>
      <w:pPr>
        <w:pStyle w:val="6"/>
        <w:keepNext w:val="0"/>
        <w:keepLines w:val="0"/>
        <w:pageBreakBefore w:val="0"/>
        <w:widowControl/>
        <w:kinsoku/>
        <w:wordWrap/>
        <w:overflowPunct/>
        <w:topLinePunct w:val="0"/>
        <w:autoSpaceDE/>
        <w:autoSpaceDN/>
        <w:bidi w:val="0"/>
        <w:adjustRightInd/>
        <w:snapToGrid/>
        <w:ind w:firstLine="1200" w:firstLineChars="500"/>
        <w:jc w:val="left"/>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2.样稿中信息为示意，后期将根据实际情况制作。</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三、商务条件</w:t>
      </w: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采购包1：</w:t>
      </w:r>
    </w:p>
    <w:tbl>
      <w:tblPr>
        <w:tblStyle w:val="4"/>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05"/>
        <w:gridCol w:w="703"/>
        <w:gridCol w:w="1944"/>
        <w:gridCol w:w="517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trPr>
        <w:tc>
          <w:tcPr>
            <w:tcW w:w="705" w:type="dxa"/>
            <w:vAlign w:val="center"/>
          </w:tcPr>
          <w:p>
            <w:pPr>
              <w:pStyle w:val="6"/>
              <w:jc w:val="center"/>
              <w:rPr>
                <w:sz w:val="24"/>
                <w:szCs w:val="24"/>
                <w:highlight w:val="none"/>
              </w:rPr>
            </w:pPr>
            <w:r>
              <w:rPr>
                <w:rFonts w:ascii="仿宋_GB2312" w:hAnsi="仿宋_GB2312" w:eastAsia="仿宋_GB2312" w:cs="仿宋_GB2312"/>
                <w:sz w:val="24"/>
                <w:szCs w:val="24"/>
                <w:highlight w:val="none"/>
              </w:rPr>
              <w:t>序号</w:t>
            </w:r>
          </w:p>
        </w:tc>
        <w:tc>
          <w:tcPr>
            <w:tcW w:w="703" w:type="dxa"/>
            <w:vAlign w:val="center"/>
          </w:tcPr>
          <w:p>
            <w:pPr>
              <w:pStyle w:val="6"/>
              <w:jc w:val="center"/>
              <w:rPr>
                <w:sz w:val="24"/>
                <w:szCs w:val="24"/>
                <w:highlight w:val="none"/>
              </w:rPr>
            </w:pPr>
            <w:r>
              <w:rPr>
                <w:rFonts w:ascii="仿宋_GB2312" w:hAnsi="仿宋_GB2312" w:eastAsia="仿宋_GB2312" w:cs="仿宋_GB2312"/>
                <w:sz w:val="24"/>
                <w:szCs w:val="24"/>
                <w:highlight w:val="none"/>
              </w:rPr>
              <w:t>参数性质</w:t>
            </w:r>
          </w:p>
        </w:tc>
        <w:tc>
          <w:tcPr>
            <w:tcW w:w="1944" w:type="dxa"/>
            <w:vAlign w:val="center"/>
          </w:tcPr>
          <w:p>
            <w:pPr>
              <w:pStyle w:val="6"/>
              <w:jc w:val="center"/>
              <w:rPr>
                <w:sz w:val="24"/>
                <w:szCs w:val="24"/>
                <w:highlight w:val="none"/>
              </w:rPr>
            </w:pPr>
            <w:r>
              <w:rPr>
                <w:rFonts w:ascii="仿宋_GB2312" w:hAnsi="仿宋_GB2312" w:eastAsia="仿宋_GB2312" w:cs="仿宋_GB2312"/>
                <w:sz w:val="24"/>
                <w:szCs w:val="24"/>
                <w:highlight w:val="none"/>
              </w:rPr>
              <w:t>类型</w:t>
            </w:r>
          </w:p>
        </w:tc>
        <w:tc>
          <w:tcPr>
            <w:tcW w:w="5170" w:type="dxa"/>
            <w:vAlign w:val="center"/>
          </w:tcPr>
          <w:p>
            <w:pPr>
              <w:pStyle w:val="6"/>
              <w:jc w:val="center"/>
              <w:rPr>
                <w:sz w:val="24"/>
                <w:szCs w:val="24"/>
                <w:highlight w:val="none"/>
              </w:rPr>
            </w:pPr>
            <w:r>
              <w:rPr>
                <w:rFonts w:ascii="仿宋_GB2312" w:hAnsi="仿宋_GB2312" w:eastAsia="仿宋_GB2312" w:cs="仿宋_GB2312"/>
                <w:sz w:val="24"/>
                <w:szCs w:val="24"/>
                <w:highlight w:val="none"/>
              </w:rPr>
              <w:t>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trPr>
        <w:tc>
          <w:tcPr>
            <w:tcW w:w="705" w:type="dxa"/>
            <w:vAlign w:val="center"/>
          </w:tcPr>
          <w:p>
            <w:pPr>
              <w:pStyle w:val="6"/>
              <w:keepNext w:val="0"/>
              <w:keepLines w:val="0"/>
              <w:pageBreakBefore w:val="0"/>
              <w:widowControl/>
              <w:kinsoku/>
              <w:wordWrap/>
              <w:overflowPunct/>
              <w:topLinePunct w:val="0"/>
              <w:autoSpaceDE/>
              <w:autoSpaceDN/>
              <w:bidi w:val="0"/>
              <w:adjustRightInd/>
              <w:snapToGrid/>
              <w:ind w:firstLine="0"/>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w:t>
            </w:r>
          </w:p>
        </w:tc>
        <w:tc>
          <w:tcPr>
            <w:tcW w:w="703" w:type="dxa"/>
            <w:vAlign w:val="center"/>
          </w:tcPr>
          <w:p>
            <w:pPr>
              <w:pStyle w:val="6"/>
              <w:keepNext w:val="0"/>
              <w:keepLines w:val="0"/>
              <w:pageBreakBefore w:val="0"/>
              <w:widowControl/>
              <w:kinsoku/>
              <w:wordWrap/>
              <w:overflowPunct/>
              <w:topLinePunct w:val="0"/>
              <w:autoSpaceDE/>
              <w:autoSpaceDN/>
              <w:bidi w:val="0"/>
              <w:adjustRightInd/>
              <w:snapToGrid/>
              <w:ind w:firstLine="0"/>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w:t>
            </w:r>
          </w:p>
        </w:tc>
        <w:tc>
          <w:tcPr>
            <w:tcW w:w="1944" w:type="dxa"/>
            <w:vAlign w:val="center"/>
          </w:tcPr>
          <w:p>
            <w:pPr>
              <w:pStyle w:val="6"/>
              <w:keepNext w:val="0"/>
              <w:keepLines w:val="0"/>
              <w:pageBreakBefore w:val="0"/>
              <w:widowControl/>
              <w:kinsoku/>
              <w:wordWrap/>
              <w:overflowPunct/>
              <w:topLinePunct w:val="0"/>
              <w:autoSpaceDE/>
              <w:autoSpaceDN/>
              <w:bidi w:val="0"/>
              <w:adjustRightInd/>
              <w:snapToGrid/>
              <w:ind w:firstLine="0"/>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交货时间</w:t>
            </w:r>
          </w:p>
        </w:tc>
        <w:tc>
          <w:tcPr>
            <w:tcW w:w="5170" w:type="dxa"/>
            <w:vAlign w:val="center"/>
          </w:tcPr>
          <w:p>
            <w:pPr>
              <w:pStyle w:val="6"/>
              <w:keepNext w:val="0"/>
              <w:keepLines w:val="0"/>
              <w:pageBreakBefore w:val="0"/>
              <w:widowControl/>
              <w:kinsoku/>
              <w:wordWrap/>
              <w:overflowPunct/>
              <w:topLinePunct w:val="0"/>
              <w:autoSpaceDE/>
              <w:autoSpaceDN/>
              <w:bidi w:val="0"/>
              <w:adjustRightInd/>
              <w:snapToGrid/>
              <w:ind w:firstLine="0"/>
              <w:jc w:val="left"/>
              <w:textAlignment w:val="auto"/>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自合同签订之日起至2026年12月31日。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trPr>
        <w:tc>
          <w:tcPr>
            <w:tcW w:w="705" w:type="dxa"/>
            <w:vAlign w:val="center"/>
          </w:tcPr>
          <w:p>
            <w:pPr>
              <w:pStyle w:val="6"/>
              <w:keepNext w:val="0"/>
              <w:keepLines w:val="0"/>
              <w:pageBreakBefore w:val="0"/>
              <w:widowControl/>
              <w:kinsoku/>
              <w:wordWrap/>
              <w:overflowPunct/>
              <w:topLinePunct w:val="0"/>
              <w:autoSpaceDE/>
              <w:autoSpaceDN/>
              <w:bidi w:val="0"/>
              <w:adjustRightInd/>
              <w:snapToGrid/>
              <w:ind w:firstLine="0"/>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w:t>
            </w:r>
          </w:p>
        </w:tc>
        <w:tc>
          <w:tcPr>
            <w:tcW w:w="703" w:type="dxa"/>
            <w:vAlign w:val="center"/>
          </w:tcPr>
          <w:p>
            <w:pPr>
              <w:pStyle w:val="6"/>
              <w:keepNext w:val="0"/>
              <w:keepLines w:val="0"/>
              <w:pageBreakBefore w:val="0"/>
              <w:widowControl/>
              <w:kinsoku/>
              <w:wordWrap/>
              <w:overflowPunct/>
              <w:topLinePunct w:val="0"/>
              <w:autoSpaceDE/>
              <w:autoSpaceDN/>
              <w:bidi w:val="0"/>
              <w:adjustRightInd/>
              <w:snapToGrid/>
              <w:ind w:firstLine="0"/>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w:t>
            </w:r>
          </w:p>
        </w:tc>
        <w:tc>
          <w:tcPr>
            <w:tcW w:w="1944" w:type="dxa"/>
            <w:vAlign w:val="center"/>
          </w:tcPr>
          <w:p>
            <w:pPr>
              <w:pStyle w:val="6"/>
              <w:keepNext w:val="0"/>
              <w:keepLines w:val="0"/>
              <w:pageBreakBefore w:val="0"/>
              <w:widowControl/>
              <w:kinsoku/>
              <w:wordWrap/>
              <w:overflowPunct/>
              <w:topLinePunct w:val="0"/>
              <w:autoSpaceDE/>
              <w:autoSpaceDN/>
              <w:bidi w:val="0"/>
              <w:adjustRightInd/>
              <w:snapToGrid/>
              <w:ind w:firstLine="0"/>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交货地点</w:t>
            </w:r>
          </w:p>
        </w:tc>
        <w:tc>
          <w:tcPr>
            <w:tcW w:w="5170" w:type="dxa"/>
            <w:vAlign w:val="center"/>
          </w:tcPr>
          <w:p>
            <w:pPr>
              <w:pStyle w:val="6"/>
              <w:keepNext w:val="0"/>
              <w:keepLines w:val="0"/>
              <w:pageBreakBefore w:val="0"/>
              <w:widowControl/>
              <w:kinsoku/>
              <w:wordWrap/>
              <w:overflowPunct/>
              <w:topLinePunct w:val="0"/>
              <w:autoSpaceDE/>
              <w:autoSpaceDN/>
              <w:bidi w:val="0"/>
              <w:adjustRightInd/>
              <w:snapToGrid/>
              <w:ind w:firstLine="0"/>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福州市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trPr>
        <w:tc>
          <w:tcPr>
            <w:tcW w:w="705" w:type="dxa"/>
            <w:vAlign w:val="center"/>
          </w:tcPr>
          <w:p>
            <w:pPr>
              <w:pStyle w:val="6"/>
              <w:keepNext w:val="0"/>
              <w:keepLines w:val="0"/>
              <w:pageBreakBefore w:val="0"/>
              <w:widowControl/>
              <w:kinsoku/>
              <w:wordWrap/>
              <w:overflowPunct/>
              <w:topLinePunct w:val="0"/>
              <w:autoSpaceDE/>
              <w:autoSpaceDN/>
              <w:bidi w:val="0"/>
              <w:adjustRightInd/>
              <w:snapToGrid/>
              <w:ind w:firstLine="0"/>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w:t>
            </w:r>
          </w:p>
        </w:tc>
        <w:tc>
          <w:tcPr>
            <w:tcW w:w="703" w:type="dxa"/>
            <w:vAlign w:val="center"/>
          </w:tcPr>
          <w:p>
            <w:pPr>
              <w:pStyle w:val="6"/>
              <w:keepNext w:val="0"/>
              <w:keepLines w:val="0"/>
              <w:pageBreakBefore w:val="0"/>
              <w:widowControl/>
              <w:kinsoku/>
              <w:wordWrap/>
              <w:overflowPunct/>
              <w:topLinePunct w:val="0"/>
              <w:autoSpaceDE/>
              <w:autoSpaceDN/>
              <w:bidi w:val="0"/>
              <w:adjustRightInd/>
              <w:snapToGrid/>
              <w:ind w:firstLine="0"/>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w:t>
            </w:r>
          </w:p>
        </w:tc>
        <w:tc>
          <w:tcPr>
            <w:tcW w:w="1944" w:type="dxa"/>
            <w:vAlign w:val="center"/>
          </w:tcPr>
          <w:p>
            <w:pPr>
              <w:pStyle w:val="6"/>
              <w:keepNext w:val="0"/>
              <w:keepLines w:val="0"/>
              <w:pageBreakBefore w:val="0"/>
              <w:widowControl/>
              <w:kinsoku/>
              <w:wordWrap/>
              <w:overflowPunct/>
              <w:topLinePunct w:val="0"/>
              <w:autoSpaceDE/>
              <w:autoSpaceDN/>
              <w:bidi w:val="0"/>
              <w:adjustRightInd/>
              <w:snapToGrid/>
              <w:ind w:firstLine="0"/>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交货条件</w:t>
            </w:r>
          </w:p>
        </w:tc>
        <w:tc>
          <w:tcPr>
            <w:tcW w:w="5170" w:type="dxa"/>
            <w:vAlign w:val="center"/>
          </w:tcPr>
          <w:p>
            <w:pPr>
              <w:pStyle w:val="6"/>
              <w:keepNext w:val="0"/>
              <w:keepLines w:val="0"/>
              <w:pageBreakBefore w:val="0"/>
              <w:widowControl/>
              <w:kinsoku/>
              <w:wordWrap/>
              <w:overflowPunct/>
              <w:topLinePunct w:val="0"/>
              <w:autoSpaceDE/>
              <w:autoSpaceDN/>
              <w:bidi w:val="0"/>
              <w:adjustRightInd/>
              <w:snapToGrid/>
              <w:ind w:firstLine="0"/>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auto"/>
                <w:sz w:val="24"/>
                <w:szCs w:val="24"/>
                <w:highlight w:val="none"/>
              </w:rPr>
              <w:t>按规定完成服务，并验收合格。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trPr>
        <w:tc>
          <w:tcPr>
            <w:tcW w:w="705" w:type="dxa"/>
            <w:vAlign w:val="center"/>
          </w:tcPr>
          <w:p>
            <w:pPr>
              <w:pStyle w:val="6"/>
              <w:keepNext w:val="0"/>
              <w:keepLines w:val="0"/>
              <w:pageBreakBefore w:val="0"/>
              <w:widowControl/>
              <w:kinsoku/>
              <w:wordWrap/>
              <w:overflowPunct/>
              <w:topLinePunct w:val="0"/>
              <w:autoSpaceDE/>
              <w:autoSpaceDN/>
              <w:bidi w:val="0"/>
              <w:adjustRightInd/>
              <w:snapToGrid/>
              <w:ind w:firstLine="0"/>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w:t>
            </w:r>
          </w:p>
        </w:tc>
        <w:tc>
          <w:tcPr>
            <w:tcW w:w="703" w:type="dxa"/>
            <w:vAlign w:val="center"/>
          </w:tcPr>
          <w:p>
            <w:pPr>
              <w:pStyle w:val="6"/>
              <w:keepNext w:val="0"/>
              <w:keepLines w:val="0"/>
              <w:pageBreakBefore w:val="0"/>
              <w:widowControl/>
              <w:kinsoku/>
              <w:wordWrap/>
              <w:overflowPunct/>
              <w:topLinePunct w:val="0"/>
              <w:autoSpaceDE/>
              <w:autoSpaceDN/>
              <w:bidi w:val="0"/>
              <w:adjustRightInd/>
              <w:snapToGrid/>
              <w:ind w:firstLine="0"/>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w:t>
            </w:r>
          </w:p>
        </w:tc>
        <w:tc>
          <w:tcPr>
            <w:tcW w:w="1944" w:type="dxa"/>
            <w:vAlign w:val="center"/>
          </w:tcPr>
          <w:p>
            <w:pPr>
              <w:pStyle w:val="6"/>
              <w:keepNext w:val="0"/>
              <w:keepLines w:val="0"/>
              <w:pageBreakBefore w:val="0"/>
              <w:widowControl/>
              <w:kinsoku/>
              <w:wordWrap/>
              <w:overflowPunct/>
              <w:topLinePunct w:val="0"/>
              <w:autoSpaceDE/>
              <w:autoSpaceDN/>
              <w:bidi w:val="0"/>
              <w:adjustRightInd/>
              <w:snapToGrid/>
              <w:ind w:firstLine="0"/>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是否邀请投标人验收</w:t>
            </w:r>
          </w:p>
        </w:tc>
        <w:tc>
          <w:tcPr>
            <w:tcW w:w="5170" w:type="dxa"/>
            <w:vAlign w:val="center"/>
          </w:tcPr>
          <w:p>
            <w:pPr>
              <w:pStyle w:val="6"/>
              <w:keepNext w:val="0"/>
              <w:keepLines w:val="0"/>
              <w:pageBreakBefore w:val="0"/>
              <w:widowControl/>
              <w:kinsoku/>
              <w:wordWrap/>
              <w:overflowPunct/>
              <w:topLinePunct w:val="0"/>
              <w:autoSpaceDE/>
              <w:autoSpaceDN/>
              <w:bidi w:val="0"/>
              <w:adjustRightInd/>
              <w:snapToGrid/>
              <w:ind w:firstLine="0"/>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不邀请投标人验收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trPr>
        <w:tc>
          <w:tcPr>
            <w:tcW w:w="705" w:type="dxa"/>
            <w:vAlign w:val="center"/>
          </w:tcPr>
          <w:p>
            <w:pPr>
              <w:pStyle w:val="6"/>
              <w:keepNext w:val="0"/>
              <w:keepLines w:val="0"/>
              <w:pageBreakBefore w:val="0"/>
              <w:widowControl/>
              <w:kinsoku/>
              <w:wordWrap/>
              <w:overflowPunct/>
              <w:topLinePunct w:val="0"/>
              <w:autoSpaceDE/>
              <w:autoSpaceDN/>
              <w:bidi w:val="0"/>
              <w:adjustRightInd/>
              <w:snapToGrid/>
              <w:ind w:firstLine="0"/>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w:t>
            </w:r>
          </w:p>
        </w:tc>
        <w:tc>
          <w:tcPr>
            <w:tcW w:w="703" w:type="dxa"/>
            <w:vAlign w:val="center"/>
          </w:tcPr>
          <w:p>
            <w:pPr>
              <w:pStyle w:val="6"/>
              <w:keepNext w:val="0"/>
              <w:keepLines w:val="0"/>
              <w:pageBreakBefore w:val="0"/>
              <w:widowControl/>
              <w:kinsoku/>
              <w:wordWrap/>
              <w:overflowPunct/>
              <w:topLinePunct w:val="0"/>
              <w:autoSpaceDE/>
              <w:autoSpaceDN/>
              <w:bidi w:val="0"/>
              <w:adjustRightInd/>
              <w:snapToGrid/>
              <w:ind w:firstLine="0"/>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w:t>
            </w:r>
          </w:p>
        </w:tc>
        <w:tc>
          <w:tcPr>
            <w:tcW w:w="1944" w:type="dxa"/>
            <w:vAlign w:val="center"/>
          </w:tcPr>
          <w:p>
            <w:pPr>
              <w:pStyle w:val="6"/>
              <w:keepNext w:val="0"/>
              <w:keepLines w:val="0"/>
              <w:pageBreakBefore w:val="0"/>
              <w:widowControl/>
              <w:kinsoku/>
              <w:wordWrap/>
              <w:overflowPunct/>
              <w:topLinePunct w:val="0"/>
              <w:autoSpaceDE/>
              <w:autoSpaceDN/>
              <w:bidi w:val="0"/>
              <w:adjustRightInd/>
              <w:snapToGrid/>
              <w:ind w:firstLine="0"/>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履约验收方式</w:t>
            </w:r>
          </w:p>
        </w:tc>
        <w:tc>
          <w:tcPr>
            <w:tcW w:w="5170" w:type="dxa"/>
            <w:vAlign w:val="center"/>
          </w:tcPr>
          <w:p>
            <w:pPr>
              <w:pStyle w:val="6"/>
              <w:keepNext w:val="0"/>
              <w:keepLines w:val="0"/>
              <w:pageBreakBefore w:val="0"/>
              <w:widowControl/>
              <w:kinsoku/>
              <w:wordWrap/>
              <w:overflowPunct/>
              <w:topLinePunct w:val="0"/>
              <w:autoSpaceDE/>
              <w:autoSpaceDN/>
              <w:bidi w:val="0"/>
              <w:adjustRightInd/>
              <w:snapToGrid/>
              <w:ind w:firstLine="0"/>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1、期次1，说明：1、期次1，说明：成交供应商应随时接受采购人的项目服务评估，按国家相关标准、采购文件中的规定及合同中相关条款在要求的时间内完成验收。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trPr>
        <w:tc>
          <w:tcPr>
            <w:tcW w:w="705" w:type="dxa"/>
            <w:vAlign w:val="center"/>
          </w:tcPr>
          <w:p>
            <w:pPr>
              <w:pStyle w:val="6"/>
              <w:keepNext w:val="0"/>
              <w:keepLines w:val="0"/>
              <w:pageBreakBefore w:val="0"/>
              <w:widowControl/>
              <w:kinsoku/>
              <w:wordWrap/>
              <w:overflowPunct/>
              <w:topLinePunct w:val="0"/>
              <w:autoSpaceDE/>
              <w:autoSpaceDN/>
              <w:bidi w:val="0"/>
              <w:adjustRightInd/>
              <w:snapToGrid/>
              <w:ind w:firstLine="0"/>
              <w:jc w:val="left"/>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6</w:t>
            </w:r>
          </w:p>
        </w:tc>
        <w:tc>
          <w:tcPr>
            <w:tcW w:w="703" w:type="dxa"/>
            <w:vAlign w:val="center"/>
          </w:tcPr>
          <w:p>
            <w:pPr>
              <w:pStyle w:val="6"/>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sz w:val="24"/>
                <w:szCs w:val="24"/>
                <w:highlight w:val="none"/>
                <w:lang w:val="en-US" w:eastAsia="zh-Hans"/>
              </w:rPr>
            </w:pPr>
            <w:r>
              <w:rPr>
                <w:rFonts w:hint="eastAsia" w:ascii="仿宋_GB2312" w:hAnsi="仿宋_GB2312" w:eastAsia="仿宋_GB2312" w:cs="仿宋_GB2312"/>
                <w:sz w:val="24"/>
                <w:szCs w:val="24"/>
                <w:highlight w:val="none"/>
              </w:rPr>
              <w:t>★</w:t>
            </w:r>
          </w:p>
        </w:tc>
        <w:tc>
          <w:tcPr>
            <w:tcW w:w="1944" w:type="dxa"/>
            <w:vAlign w:val="center"/>
          </w:tcPr>
          <w:p>
            <w:pPr>
              <w:pStyle w:val="6"/>
              <w:keepNext w:val="0"/>
              <w:keepLines w:val="0"/>
              <w:pageBreakBefore w:val="0"/>
              <w:widowControl/>
              <w:kinsoku/>
              <w:wordWrap/>
              <w:overflowPunct/>
              <w:topLinePunct w:val="0"/>
              <w:autoSpaceDE/>
              <w:autoSpaceDN/>
              <w:bidi w:val="0"/>
              <w:adjustRightInd/>
              <w:snapToGrid/>
              <w:ind w:firstLine="0"/>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合同支付方式</w:t>
            </w:r>
          </w:p>
        </w:tc>
        <w:tc>
          <w:tcPr>
            <w:tcW w:w="5170" w:type="dxa"/>
            <w:vAlign w:val="center"/>
          </w:tcPr>
          <w:p>
            <w:pPr>
              <w:pStyle w:val="6"/>
              <w:keepNext w:val="0"/>
              <w:keepLines w:val="0"/>
              <w:pageBreakBefore w:val="0"/>
              <w:widowControl/>
              <w:kinsoku/>
              <w:wordWrap/>
              <w:overflowPunct/>
              <w:topLinePunct w:val="0"/>
              <w:autoSpaceDE/>
              <w:autoSpaceDN/>
              <w:bidi w:val="0"/>
              <w:adjustRightInd/>
              <w:snapToGrid/>
              <w:ind w:firstLine="0"/>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1、进度款，项目完成50%的相应合格工作量，待财政资金批复到位，成交供应商出具正式发票后，达到付款条件起10日内，支付合同总金额的50.00%</w:t>
            </w:r>
          </w:p>
          <w:p>
            <w:pPr>
              <w:pStyle w:val="6"/>
              <w:keepNext w:val="0"/>
              <w:keepLines w:val="0"/>
              <w:pageBreakBefore w:val="0"/>
              <w:widowControl/>
              <w:kinsoku/>
              <w:wordWrap/>
              <w:overflowPunct/>
              <w:topLinePunct w:val="0"/>
              <w:autoSpaceDE/>
              <w:autoSpaceDN/>
              <w:bidi w:val="0"/>
              <w:adjustRightInd/>
              <w:snapToGrid/>
              <w:ind w:firstLine="0"/>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2、进度款，项目经采购人验收合格，待财政资金批复到位，成交供应商出具正式发票后，达到付款条件起10日内，支付合同总金额的50.00%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trPr>
        <w:tc>
          <w:tcPr>
            <w:tcW w:w="705" w:type="dxa"/>
            <w:vAlign w:val="center"/>
          </w:tcPr>
          <w:p>
            <w:pPr>
              <w:pStyle w:val="6"/>
              <w:keepNext w:val="0"/>
              <w:keepLines w:val="0"/>
              <w:pageBreakBefore w:val="0"/>
              <w:widowControl/>
              <w:kinsoku/>
              <w:wordWrap/>
              <w:overflowPunct/>
              <w:topLinePunct w:val="0"/>
              <w:autoSpaceDE/>
              <w:autoSpaceDN/>
              <w:bidi w:val="0"/>
              <w:adjustRightInd/>
              <w:snapToGrid/>
              <w:ind w:firstLine="0"/>
              <w:jc w:val="left"/>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7</w:t>
            </w:r>
          </w:p>
        </w:tc>
        <w:tc>
          <w:tcPr>
            <w:tcW w:w="703" w:type="dxa"/>
            <w:vAlign w:val="center"/>
          </w:tcPr>
          <w:p>
            <w:pPr>
              <w:pStyle w:val="6"/>
              <w:keepNext w:val="0"/>
              <w:keepLines w:val="0"/>
              <w:pageBreakBefore w:val="0"/>
              <w:widowControl/>
              <w:kinsoku/>
              <w:wordWrap/>
              <w:overflowPunct/>
              <w:topLinePunct w:val="0"/>
              <w:autoSpaceDE/>
              <w:autoSpaceDN/>
              <w:bidi w:val="0"/>
              <w:adjustRightInd/>
              <w:snapToGrid/>
              <w:ind w:firstLine="0"/>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w:t>
            </w:r>
          </w:p>
        </w:tc>
        <w:tc>
          <w:tcPr>
            <w:tcW w:w="1944" w:type="dxa"/>
            <w:vAlign w:val="center"/>
          </w:tcPr>
          <w:p>
            <w:pPr>
              <w:pStyle w:val="6"/>
              <w:keepNext w:val="0"/>
              <w:keepLines w:val="0"/>
              <w:pageBreakBefore w:val="0"/>
              <w:widowControl/>
              <w:kinsoku/>
              <w:wordWrap/>
              <w:overflowPunct/>
              <w:topLinePunct w:val="0"/>
              <w:autoSpaceDE/>
              <w:autoSpaceDN/>
              <w:bidi w:val="0"/>
              <w:adjustRightInd/>
              <w:snapToGrid/>
              <w:ind w:firstLine="0"/>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履约保证金</w:t>
            </w:r>
          </w:p>
        </w:tc>
        <w:tc>
          <w:tcPr>
            <w:tcW w:w="5170" w:type="dxa"/>
            <w:vAlign w:val="center"/>
          </w:tcPr>
          <w:p>
            <w:pPr>
              <w:pStyle w:val="6"/>
              <w:keepNext w:val="0"/>
              <w:keepLines w:val="0"/>
              <w:pageBreakBefore w:val="0"/>
              <w:widowControl/>
              <w:kinsoku/>
              <w:wordWrap/>
              <w:overflowPunct/>
              <w:topLinePunct w:val="0"/>
              <w:autoSpaceDE/>
              <w:autoSpaceDN/>
              <w:bidi w:val="0"/>
              <w:adjustRightInd/>
              <w:snapToGrid/>
              <w:ind w:firstLine="0"/>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不缴纳</w:t>
            </w:r>
          </w:p>
          <w:p>
            <w:pPr>
              <w:pStyle w:val="6"/>
              <w:keepNext w:val="0"/>
              <w:keepLines w:val="0"/>
              <w:pageBreakBefore w:val="0"/>
              <w:widowControl/>
              <w:kinsoku/>
              <w:wordWrap/>
              <w:overflowPunct/>
              <w:topLinePunct w:val="0"/>
              <w:autoSpaceDE/>
              <w:autoSpaceDN/>
              <w:bidi w:val="0"/>
              <w:adjustRightInd/>
              <w:snapToGrid/>
              <w:ind w:firstLine="0"/>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缴纳方式：无</w:t>
            </w:r>
          </w:p>
        </w:tc>
      </w:tr>
    </w:tbl>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其他商务要求：</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8、其他要求</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8.1、本采购文件所述所有要求中所发生的一切费用均包含在投标总价中，供应商应对本项目所涉及的有关项目的所有费用进行报价，采购人不再支付任何额外费用（除磋商文件另有规定的）。本项目不允许成交供应商以任何名义和理由进行转包，如有发现，采购人有权单方中止或解除合同，且成交供应商必须赔偿由此给采购人带来的一切损失。成交供应商在合同期内未经采购人同意不得擅自中止履行或解除合同，违反合同的将没收全部未支付的服务费并承担由此给采购人造成的损失。</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8.2、成交供应商在服务周期内出现服务质量问题或货物质量问题，成交供应商应无条件整改。</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8.3、供应商必须对其响应文件中提供各种资料、说明、声明的真实性负责。供应商若提供虚假资料，一经发现将根据本文件和相关法律法规追究其相关责任，其中：虚假资料若在评标过程中，还将视为无效投标；若在评标定标后发现，还将取消其中标资格（定标后采购人有可能对成交供应商响应文件中的承诺内容和证明材料进行核查，成交供应商应无条件配合采购人的核查工作，不得托词拒绝核查或隐瞒真实情况）；若在中标后签订合同时发现，采购人还将取消其合同签订，给采购人造成损失的，需另行赔偿并负相关责任。</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8.4、供应商须保障采购人在使用该服务或其任何一部分时不受到第三方关于侵犯专利权、商标权或工业设计权等知识产权的指控。如果任何第三方提出侵权指控与采购人无关，供应商须与第三方交涉并承担可能发生的责任与一切费用。如采购人因此而遭致损失的，供应商应赔偿该损失。</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9、处罚措施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9.1、《每木调查表》必须完整，未达到要求的，进行限期整改，整改未达标的，每株扣500元服务款。</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9.2、对于服务质量不合格或台账不按时提交的，每次处以3000元违约金。</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9.3、行动迟缓、投入不足、技术力量薄弱、未按时按质完成工作的，每宗扣2000元服务款，情节较严重的约谈项目负责人。</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9.4、未按照任务单要求实施、质量不符合要求的，进行限期整改，直至达到符合质量要求，且不予重复核计服务量。</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10、违约责任</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10.1、若因特殊情况需调换项目负责人或技术负责人的，必须征得采购人同意方可调换同等条件的项目负责人或技术负责人。并处以10000元违约金,当采购人通知要求人员到场处理有关问题，成交供应商应及时派人员到场，并提出有关处理意见。</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10.2、本项目产生的调查成果资料（包括影像、数据及成果报告等）等知识产权均属于双方所有，不得向第三方以任何方式泄漏，否则，成交供应商按合同总价款的20%赔偿损失。若该赔偿不足以弥补采购人因此遭受的全部损失（包括但不限于直接损失、间接损失、可得利益损失及为实现权利所支出的合理费用），成交供应商应在采购人提出书面通知后十日内就不足部分予以补足。如因成交供应商泄密导致采购人被第三方追责或处罚，成交供应商应承担全部赔偿责任。</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四、其他事项</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1、除磋商文件另有规定外，若出现有关法律、法规和规章有强制性规定但磋商文件未列明的情形，则供应商应按照有关法律、法规和规章强制性规定执行。 2、供应商须按采购包投标，对同一采购包内所有内容投标时必须完整。评标与成交以采购包为单位。成交供应商应按合同规定履行全部的义务和承担全部的责任。成交供应商不得将项目进行转包或分包。 3、本磋商文件未明确的其它约定事项或条款，待采购人与成交供应商签订合同时，由双方协商订立。</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DisplayPageBoundaries w:val="true"/>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EFC00D"/>
    <w:rsid w:val="1FE64595"/>
    <w:rsid w:val="3BDFE13C"/>
    <w:rsid w:val="5FEFC00D"/>
    <w:rsid w:val="C77593EF"/>
    <w:rsid w:val="FDF882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2026-03-31T15:26:00Z</dcterms:created>
  <dc:creator>uos</dc:creator>
  <cp:lastModifiedBy>uos</cp:lastModifiedBy>
  <dcterms:modified xsi:type="dcterms:W3CDTF">2026-04-09T09:31:04Z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