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AC39">
      <w:pPr>
        <w:pStyle w:val="20"/>
        <w:jc w:val="center"/>
        <w:outlineLvl w:val="0"/>
        <w:rPr>
          <w:rFonts w:ascii="宋体" w:hAnsi="宋体" w:eastAsia="宋体" w:cs="宋体"/>
          <w:b/>
          <w:color w:val="auto"/>
          <w:sz w:val="72"/>
          <w:szCs w:val="72"/>
        </w:rPr>
      </w:pPr>
    </w:p>
    <w:p w14:paraId="3B6F6C70">
      <w:pPr>
        <w:pStyle w:val="20"/>
        <w:jc w:val="center"/>
        <w:outlineLvl w:val="0"/>
        <w:rPr>
          <w:rFonts w:ascii="宋体" w:hAnsi="宋体" w:eastAsia="宋体" w:cs="宋体"/>
          <w:b/>
          <w:color w:val="auto"/>
          <w:sz w:val="72"/>
          <w:szCs w:val="72"/>
        </w:rPr>
      </w:pPr>
      <w:r>
        <w:rPr>
          <w:rFonts w:ascii="宋体" w:hAnsi="宋体" w:eastAsia="宋体" w:cs="宋体"/>
          <w:b/>
          <w:color w:val="auto"/>
          <w:sz w:val="72"/>
          <w:szCs w:val="72"/>
        </w:rPr>
        <w:t>福建省政府采购</w:t>
      </w:r>
    </w:p>
    <w:p w14:paraId="2C7D90B0">
      <w:pPr>
        <w:pStyle w:val="20"/>
        <w:jc w:val="center"/>
        <w:outlineLvl w:val="0"/>
        <w:rPr>
          <w:rFonts w:ascii="宋体" w:hAnsi="宋体" w:eastAsia="宋体" w:cs="宋体"/>
          <w:b/>
          <w:color w:val="auto"/>
          <w:sz w:val="72"/>
          <w:szCs w:val="72"/>
        </w:rPr>
      </w:pPr>
      <w:r>
        <w:rPr>
          <w:rFonts w:ascii="宋体" w:hAnsi="宋体" w:eastAsia="宋体" w:cs="宋体"/>
          <w:b/>
          <w:color w:val="auto"/>
          <w:sz w:val="72"/>
          <w:szCs w:val="72"/>
        </w:rPr>
        <w:t>货物和服务项目</w:t>
      </w:r>
    </w:p>
    <w:p w14:paraId="6EE04DE6">
      <w:pPr>
        <w:pStyle w:val="20"/>
        <w:jc w:val="center"/>
        <w:outlineLvl w:val="0"/>
        <w:rPr>
          <w:rFonts w:ascii="宋体" w:hAnsi="宋体" w:eastAsia="宋体" w:cs="宋体"/>
          <w:b/>
          <w:color w:val="auto"/>
          <w:sz w:val="72"/>
          <w:szCs w:val="72"/>
        </w:rPr>
      </w:pPr>
      <w:r>
        <w:rPr>
          <w:rFonts w:ascii="宋体" w:hAnsi="宋体" w:eastAsia="宋体" w:cs="宋体"/>
          <w:b/>
          <w:color w:val="auto"/>
          <w:sz w:val="72"/>
          <w:szCs w:val="72"/>
        </w:rPr>
        <w:t>公开招标文件</w:t>
      </w:r>
    </w:p>
    <w:p w14:paraId="13DF6092">
      <w:pPr>
        <w:pStyle w:val="20"/>
        <w:jc w:val="center"/>
        <w:outlineLvl w:val="0"/>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w:t>
      </w:r>
      <w:r>
        <w:rPr>
          <w:rFonts w:hint="eastAsia" w:ascii="宋体" w:hAnsi="宋体" w:eastAsia="宋体" w:cs="宋体"/>
          <w:b/>
          <w:color w:val="auto"/>
          <w:sz w:val="72"/>
          <w:szCs w:val="72"/>
          <w:lang w:val="en-US" w:eastAsia="zh-CN"/>
        </w:rPr>
        <w:t>预公告版</w:t>
      </w:r>
      <w:r>
        <w:rPr>
          <w:rFonts w:hint="eastAsia" w:ascii="宋体" w:hAnsi="宋体" w:eastAsia="宋体" w:cs="宋体"/>
          <w:b/>
          <w:color w:val="auto"/>
          <w:sz w:val="72"/>
          <w:szCs w:val="72"/>
          <w:lang w:eastAsia="zh-CN"/>
        </w:rPr>
        <w:t>）</w:t>
      </w:r>
    </w:p>
    <w:p w14:paraId="22C9ED91">
      <w:pPr>
        <w:pStyle w:val="20"/>
        <w:outlineLvl w:val="2"/>
        <w:rPr>
          <w:rFonts w:ascii="宋体" w:hAnsi="宋体" w:eastAsia="宋体" w:cs="宋体"/>
          <w:b/>
          <w:color w:val="auto"/>
          <w:sz w:val="32"/>
          <w:szCs w:val="32"/>
        </w:rPr>
      </w:pPr>
    </w:p>
    <w:p w14:paraId="6D9EA8B7">
      <w:pPr>
        <w:pStyle w:val="20"/>
        <w:outlineLvl w:val="2"/>
        <w:rPr>
          <w:rFonts w:ascii="宋体" w:hAnsi="宋体" w:eastAsia="宋体" w:cs="宋体"/>
          <w:b/>
          <w:color w:val="auto"/>
          <w:sz w:val="32"/>
          <w:szCs w:val="32"/>
        </w:rPr>
      </w:pPr>
    </w:p>
    <w:p w14:paraId="61860FB2">
      <w:pPr>
        <w:pStyle w:val="20"/>
        <w:outlineLvl w:val="2"/>
        <w:rPr>
          <w:rFonts w:ascii="宋体" w:hAnsi="宋体" w:eastAsia="宋体" w:cs="宋体"/>
          <w:b/>
          <w:color w:val="auto"/>
          <w:sz w:val="32"/>
          <w:szCs w:val="32"/>
        </w:rPr>
      </w:pPr>
    </w:p>
    <w:p w14:paraId="3A0B8BD4">
      <w:pPr>
        <w:pStyle w:val="20"/>
        <w:ind w:left="1277" w:leftChars="608" w:firstLine="0" w:firstLineChars="0"/>
        <w:outlineLvl w:val="2"/>
        <w:rPr>
          <w:rFonts w:hint="eastAsia" w:ascii="宋体" w:hAnsi="宋体" w:eastAsia="宋体" w:cs="宋体"/>
          <w:b/>
          <w:color w:val="auto"/>
          <w:sz w:val="32"/>
          <w:szCs w:val="32"/>
          <w:lang w:eastAsia="zh-CN"/>
        </w:rPr>
      </w:pPr>
      <w:r>
        <w:rPr>
          <w:rFonts w:ascii="宋体" w:hAnsi="宋体" w:eastAsia="宋体" w:cs="宋体"/>
          <w:b/>
          <w:color w:val="auto"/>
          <w:sz w:val="32"/>
          <w:szCs w:val="32"/>
        </w:rPr>
        <w:t>项目名称：</w:t>
      </w:r>
      <w:r>
        <w:rPr>
          <w:rFonts w:hint="eastAsia" w:ascii="宋体" w:hAnsi="宋体" w:eastAsia="宋体" w:cs="宋体"/>
          <w:b/>
          <w:color w:val="auto"/>
          <w:sz w:val="32"/>
          <w:szCs w:val="32"/>
          <w:lang w:eastAsia="zh-CN"/>
        </w:rPr>
        <w:t>花海公园(含环南台岛江滨休闲路解放大桥</w:t>
      </w:r>
    </w:p>
    <w:p w14:paraId="363EFD62">
      <w:pPr>
        <w:pStyle w:val="20"/>
        <w:ind w:left="1277" w:leftChars="608" w:firstLine="0" w:firstLineChars="0"/>
        <w:outlineLvl w:val="2"/>
        <w:rPr>
          <w:rFonts w:ascii="宋体" w:hAnsi="宋体" w:eastAsia="宋体" w:cs="宋体"/>
          <w:color w:val="auto"/>
          <w:sz w:val="32"/>
          <w:szCs w:val="32"/>
          <w:lang w:eastAsia="zh-CN"/>
        </w:rPr>
      </w:pPr>
      <w:r>
        <w:rPr>
          <w:rFonts w:hint="eastAsia" w:ascii="宋体" w:hAnsi="宋体" w:eastAsia="宋体" w:cs="宋体"/>
          <w:b/>
          <w:color w:val="auto"/>
          <w:sz w:val="32"/>
          <w:szCs w:val="32"/>
          <w:lang w:eastAsia="zh-CN"/>
        </w:rPr>
        <w:t>至花海公园段)绿化养护服务采购项目</w:t>
      </w:r>
    </w:p>
    <w:p w14:paraId="478AD6CC">
      <w:pPr>
        <w:pStyle w:val="20"/>
        <w:ind w:firstLine="1285" w:firstLineChars="400"/>
        <w:jc w:val="both"/>
        <w:outlineLvl w:val="2"/>
        <w:rPr>
          <w:rFonts w:ascii="宋体" w:hAnsi="宋体" w:eastAsia="宋体" w:cs="宋体"/>
          <w:color w:val="auto"/>
          <w:sz w:val="32"/>
          <w:szCs w:val="32"/>
          <w:lang w:eastAsia="zh-CN"/>
        </w:rPr>
      </w:pPr>
      <w:r>
        <w:rPr>
          <w:rFonts w:ascii="宋体" w:hAnsi="宋体" w:eastAsia="宋体" w:cs="宋体"/>
          <w:b/>
          <w:color w:val="auto"/>
          <w:sz w:val="32"/>
          <w:szCs w:val="32"/>
        </w:rPr>
        <w:t>备案编号：</w:t>
      </w:r>
      <w:r>
        <w:rPr>
          <w:rFonts w:hint="eastAsia" w:ascii="宋体" w:hAnsi="宋体" w:eastAsia="宋体" w:cs="宋体"/>
          <w:b/>
          <w:color w:val="auto"/>
          <w:sz w:val="32"/>
          <w:szCs w:val="32"/>
          <w:lang w:eastAsia="zh-CN"/>
        </w:rPr>
        <w:t>CGXM-2025-350101-01903[2025]00317</w:t>
      </w:r>
    </w:p>
    <w:p w14:paraId="4BD17B90">
      <w:pPr>
        <w:pStyle w:val="20"/>
        <w:ind w:firstLine="1285" w:firstLineChars="400"/>
        <w:jc w:val="both"/>
        <w:outlineLvl w:val="2"/>
        <w:rPr>
          <w:rFonts w:ascii="宋体" w:hAnsi="宋体" w:eastAsia="宋体" w:cs="宋体"/>
          <w:b/>
          <w:color w:val="auto"/>
          <w:sz w:val="28"/>
          <w:szCs w:val="28"/>
        </w:rPr>
      </w:pPr>
      <w:r>
        <w:rPr>
          <w:rFonts w:ascii="宋体" w:hAnsi="宋体" w:eastAsia="宋体" w:cs="宋体"/>
          <w:b/>
          <w:color w:val="auto"/>
          <w:sz w:val="32"/>
          <w:szCs w:val="32"/>
        </w:rPr>
        <w:t>项目编号：</w:t>
      </w:r>
      <w:r>
        <w:rPr>
          <w:rFonts w:hint="eastAsia" w:ascii="宋体" w:hAnsi="宋体" w:eastAsia="宋体" w:cs="宋体"/>
          <w:b/>
          <w:color w:val="auto"/>
          <w:sz w:val="32"/>
          <w:szCs w:val="32"/>
          <w:lang w:eastAsia="zh-CN"/>
        </w:rPr>
        <w:t>[350101]FJZSZB[GK]2025001</w:t>
      </w:r>
    </w:p>
    <w:p w14:paraId="29EB7342">
      <w:pPr>
        <w:pStyle w:val="20"/>
        <w:jc w:val="center"/>
        <w:outlineLvl w:val="2"/>
        <w:rPr>
          <w:rFonts w:ascii="宋体" w:hAnsi="宋体" w:eastAsia="宋体" w:cs="宋体"/>
          <w:b/>
          <w:color w:val="auto"/>
          <w:sz w:val="28"/>
          <w:szCs w:val="28"/>
        </w:rPr>
      </w:pPr>
    </w:p>
    <w:p w14:paraId="11C836A4">
      <w:pPr>
        <w:pStyle w:val="20"/>
        <w:jc w:val="center"/>
        <w:outlineLvl w:val="2"/>
        <w:rPr>
          <w:rFonts w:ascii="宋体" w:hAnsi="宋体" w:eastAsia="宋体" w:cs="宋体"/>
          <w:b/>
          <w:color w:val="auto"/>
          <w:sz w:val="28"/>
          <w:szCs w:val="28"/>
        </w:rPr>
      </w:pPr>
    </w:p>
    <w:p w14:paraId="4958C0AA">
      <w:pPr>
        <w:pStyle w:val="20"/>
        <w:jc w:val="center"/>
        <w:outlineLvl w:val="2"/>
        <w:rPr>
          <w:rFonts w:ascii="宋体" w:hAnsi="宋体" w:eastAsia="宋体" w:cs="宋体"/>
          <w:b/>
          <w:color w:val="auto"/>
          <w:sz w:val="28"/>
          <w:szCs w:val="28"/>
        </w:rPr>
      </w:pPr>
    </w:p>
    <w:p w14:paraId="1E78E42D">
      <w:pPr>
        <w:pStyle w:val="20"/>
        <w:jc w:val="center"/>
        <w:outlineLvl w:val="2"/>
        <w:rPr>
          <w:rFonts w:ascii="宋体" w:hAnsi="宋体" w:eastAsia="宋体" w:cs="宋体"/>
          <w:b/>
          <w:color w:val="auto"/>
          <w:sz w:val="28"/>
          <w:szCs w:val="28"/>
        </w:rPr>
      </w:pPr>
    </w:p>
    <w:p w14:paraId="5E85C356">
      <w:pPr>
        <w:pStyle w:val="20"/>
        <w:jc w:val="both"/>
        <w:outlineLvl w:val="2"/>
        <w:rPr>
          <w:rFonts w:ascii="宋体" w:hAnsi="宋体" w:eastAsia="宋体" w:cs="宋体"/>
          <w:b/>
          <w:color w:val="auto"/>
          <w:sz w:val="28"/>
          <w:szCs w:val="28"/>
        </w:rPr>
      </w:pPr>
    </w:p>
    <w:p w14:paraId="55C92AB5">
      <w:pPr>
        <w:pStyle w:val="20"/>
        <w:jc w:val="center"/>
        <w:outlineLvl w:val="2"/>
        <w:rPr>
          <w:rFonts w:ascii="宋体" w:hAnsi="宋体" w:eastAsia="宋体" w:cs="宋体"/>
          <w:color w:val="auto"/>
          <w:sz w:val="28"/>
          <w:szCs w:val="28"/>
          <w:lang w:eastAsia="zh-CN"/>
        </w:rPr>
      </w:pPr>
      <w:r>
        <w:rPr>
          <w:rFonts w:ascii="宋体" w:hAnsi="宋体" w:eastAsia="宋体" w:cs="宋体"/>
          <w:b/>
          <w:color w:val="auto"/>
          <w:sz w:val="28"/>
          <w:szCs w:val="28"/>
        </w:rPr>
        <w:t>采购人：</w:t>
      </w:r>
      <w:r>
        <w:rPr>
          <w:rFonts w:hint="eastAsia" w:ascii="宋体" w:hAnsi="宋体" w:eastAsia="宋体" w:cs="宋体"/>
          <w:b/>
          <w:color w:val="auto"/>
          <w:sz w:val="28"/>
          <w:szCs w:val="28"/>
          <w:lang w:eastAsia="zh-CN"/>
        </w:rPr>
        <w:t>福州市闽江公园管理处</w:t>
      </w:r>
    </w:p>
    <w:p w14:paraId="48BEE367">
      <w:pPr>
        <w:pStyle w:val="20"/>
        <w:jc w:val="center"/>
        <w:outlineLvl w:val="2"/>
        <w:rPr>
          <w:rFonts w:ascii="宋体" w:hAnsi="宋体" w:eastAsia="宋体" w:cs="宋体"/>
          <w:color w:val="auto"/>
          <w:sz w:val="28"/>
          <w:szCs w:val="28"/>
        </w:rPr>
      </w:pPr>
      <w:r>
        <w:rPr>
          <w:rFonts w:ascii="宋体" w:hAnsi="宋体" w:eastAsia="宋体" w:cs="宋体"/>
          <w:b/>
          <w:color w:val="auto"/>
          <w:sz w:val="28"/>
          <w:szCs w:val="28"/>
        </w:rPr>
        <w:t>代理机构：福建正燊招标代理有限公司</w:t>
      </w:r>
    </w:p>
    <w:p w14:paraId="1C36F1E6">
      <w:pPr>
        <w:pStyle w:val="20"/>
        <w:jc w:val="center"/>
        <w:outlineLvl w:val="2"/>
        <w:rPr>
          <w:rFonts w:ascii="宋体" w:hAnsi="宋体" w:eastAsia="宋体" w:cs="宋体"/>
          <w:color w:val="auto"/>
        </w:rPr>
      </w:pPr>
      <w:r>
        <w:rPr>
          <w:rFonts w:ascii="宋体" w:hAnsi="宋体" w:eastAsia="宋体" w:cs="宋体"/>
          <w:b/>
          <w:color w:val="auto"/>
          <w:sz w:val="28"/>
          <w:szCs w:val="28"/>
        </w:rPr>
        <w:t>编制时间：</w:t>
      </w:r>
      <w:r>
        <w:rPr>
          <w:rFonts w:ascii="宋体" w:hAnsi="宋体" w:eastAsia="宋体" w:cs="宋体"/>
          <w:b/>
          <w:color w:val="auto"/>
          <w:sz w:val="28"/>
          <w:szCs w:val="28"/>
          <w:lang w:eastAsia="zh-CN"/>
        </w:rPr>
        <w:t>2025年07月</w:t>
      </w:r>
    </w:p>
    <w:p w14:paraId="72A9AE2A">
      <w:pPr>
        <w:pStyle w:val="20"/>
        <w:jc w:val="center"/>
        <w:outlineLvl w:val="1"/>
        <w:rPr>
          <w:rFonts w:ascii="宋体" w:hAnsi="宋体" w:eastAsia="宋体" w:cs="宋体"/>
          <w:b/>
          <w:color w:val="auto"/>
          <w:sz w:val="36"/>
        </w:rPr>
        <w:sectPr>
          <w:pgSz w:w="11906" w:h="16838"/>
          <w:pgMar w:top="1240" w:right="1066" w:bottom="1440" w:left="1380" w:header="851" w:footer="992" w:gutter="0"/>
          <w:pgNumType w:start="1"/>
          <w:cols w:space="425" w:num="1"/>
          <w:docGrid w:type="lines" w:linePitch="312" w:charSpace="0"/>
        </w:sectPr>
      </w:pPr>
    </w:p>
    <w:p w14:paraId="71F17DB1">
      <w:pPr>
        <w:pStyle w:val="20"/>
        <w:jc w:val="center"/>
        <w:outlineLvl w:val="1"/>
        <w:rPr>
          <w:rFonts w:ascii="宋体" w:hAnsi="宋体" w:eastAsia="宋体" w:cs="宋体"/>
          <w:color w:val="auto"/>
        </w:rPr>
      </w:pPr>
      <w:r>
        <w:rPr>
          <w:rFonts w:ascii="宋体" w:hAnsi="宋体" w:eastAsia="宋体" w:cs="宋体"/>
          <w:b/>
          <w:color w:val="auto"/>
          <w:sz w:val="36"/>
        </w:rPr>
        <w:t>第一章 投标邀请</w:t>
      </w:r>
    </w:p>
    <w:p w14:paraId="60C79596">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rPr>
          <w:rFonts w:ascii="宋体" w:hAnsi="宋体" w:eastAsia="宋体" w:cs="宋体"/>
          <w:color w:val="auto"/>
          <w:sz w:val="24"/>
          <w:szCs w:val="24"/>
        </w:rPr>
      </w:pPr>
      <w:r>
        <w:rPr>
          <w:rFonts w:ascii="宋体" w:hAnsi="宋体" w:eastAsia="宋体" w:cs="宋体"/>
          <w:color w:val="auto"/>
          <w:sz w:val="24"/>
          <w:szCs w:val="24"/>
        </w:rPr>
        <w:t>福建正燊招标代理有限公司采用公开招标方式组织</w:t>
      </w:r>
      <w:r>
        <w:rPr>
          <w:rFonts w:hint="eastAsia" w:ascii="宋体" w:hAnsi="宋体" w:eastAsia="宋体" w:cs="宋体"/>
          <w:color w:val="auto"/>
          <w:sz w:val="24"/>
          <w:szCs w:val="24"/>
          <w:lang w:eastAsia="zh-CN"/>
        </w:rPr>
        <w:t>花海公园(含环南台岛江滨休闲路解放大桥至花海公园段)绿化养护服务采购项目</w:t>
      </w:r>
      <w:r>
        <w:rPr>
          <w:rFonts w:ascii="宋体" w:hAnsi="宋体" w:eastAsia="宋体" w:cs="宋体"/>
          <w:color w:val="auto"/>
          <w:sz w:val="24"/>
          <w:szCs w:val="24"/>
        </w:rPr>
        <w:t>（以下简称：“本项目”）的政府采购活动，现邀请供应商参加投标。</w:t>
      </w:r>
    </w:p>
    <w:p w14:paraId="45E155B9">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textAlignment w:val="auto"/>
        <w:outlineLvl w:val="2"/>
        <w:rPr>
          <w:rFonts w:ascii="宋体" w:hAnsi="宋体" w:eastAsia="宋体" w:cs="宋体"/>
          <w:color w:val="auto"/>
          <w:sz w:val="24"/>
          <w:szCs w:val="24"/>
          <w:lang w:eastAsia="zh-CN"/>
        </w:rPr>
      </w:pPr>
      <w:r>
        <w:rPr>
          <w:rFonts w:ascii="宋体" w:hAnsi="宋体" w:eastAsia="宋体" w:cs="宋体"/>
          <w:b/>
          <w:color w:val="auto"/>
          <w:sz w:val="24"/>
          <w:szCs w:val="24"/>
        </w:rPr>
        <w:t>1、备案编号：</w:t>
      </w:r>
      <w:r>
        <w:rPr>
          <w:rFonts w:hint="eastAsia" w:ascii="宋体" w:hAnsi="宋体" w:eastAsia="宋体" w:cs="宋体"/>
          <w:b/>
          <w:color w:val="auto"/>
          <w:sz w:val="24"/>
          <w:szCs w:val="24"/>
          <w:lang w:eastAsia="zh-CN"/>
        </w:rPr>
        <w:t>CGXM-2025-350101-01903[2025]00317</w:t>
      </w:r>
    </w:p>
    <w:p w14:paraId="59F51C58">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b/>
          <w:color w:val="auto"/>
          <w:sz w:val="24"/>
          <w:szCs w:val="24"/>
          <w:lang w:eastAsia="zh-CN"/>
        </w:rPr>
      </w:pPr>
      <w:r>
        <w:rPr>
          <w:rFonts w:ascii="宋体" w:hAnsi="宋体" w:eastAsia="宋体" w:cs="宋体"/>
          <w:b/>
          <w:color w:val="auto"/>
          <w:sz w:val="24"/>
          <w:szCs w:val="24"/>
        </w:rPr>
        <w:t>2、项目编号：</w:t>
      </w:r>
      <w:r>
        <w:rPr>
          <w:rFonts w:hint="eastAsia" w:ascii="宋体" w:hAnsi="宋体" w:eastAsia="宋体" w:cs="宋体"/>
          <w:b/>
          <w:color w:val="auto"/>
          <w:sz w:val="24"/>
          <w:szCs w:val="24"/>
          <w:lang w:eastAsia="zh-CN"/>
        </w:rPr>
        <w:t>[350101]FJZSZB[GK]2025001</w:t>
      </w:r>
    </w:p>
    <w:p w14:paraId="1DC11549">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3、预算金额、最高限价：详见《采购标的一览表》。</w:t>
      </w:r>
    </w:p>
    <w:p w14:paraId="3A269C1C">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textAlignment w:val="auto"/>
        <w:outlineLvl w:val="2"/>
        <w:rPr>
          <w:rFonts w:ascii="宋体" w:hAnsi="宋体" w:eastAsia="宋体" w:cs="宋体"/>
          <w:color w:val="auto"/>
          <w:sz w:val="24"/>
          <w:szCs w:val="24"/>
        </w:rPr>
      </w:pPr>
      <w:r>
        <w:rPr>
          <w:rFonts w:ascii="宋体" w:hAnsi="宋体" w:eastAsia="宋体" w:cs="宋体"/>
          <w:b/>
          <w:color w:val="auto"/>
          <w:sz w:val="24"/>
          <w:szCs w:val="24"/>
        </w:rPr>
        <w:t>4、招标内容及要求：详见《采购标的一览表》及招标文件第五章。</w:t>
      </w:r>
    </w:p>
    <w:p w14:paraId="3E58D3E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textAlignment w:val="auto"/>
        <w:outlineLvl w:val="2"/>
        <w:rPr>
          <w:rFonts w:ascii="宋体" w:hAnsi="宋体" w:eastAsia="宋体" w:cs="宋体"/>
          <w:color w:val="auto"/>
          <w:sz w:val="24"/>
          <w:szCs w:val="24"/>
        </w:rPr>
      </w:pPr>
      <w:r>
        <w:rPr>
          <w:rFonts w:ascii="宋体" w:hAnsi="宋体" w:eastAsia="宋体" w:cs="宋体"/>
          <w:b/>
          <w:color w:val="auto"/>
          <w:sz w:val="24"/>
          <w:szCs w:val="24"/>
        </w:rPr>
        <w:t>5、需要落实的政府采购政策</w:t>
      </w:r>
    </w:p>
    <w:p w14:paraId="70D1F4EE">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进口产品：不适用本项目；</w:t>
      </w:r>
    </w:p>
    <w:p w14:paraId="2528D64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节能产品：不适用本项目；</w:t>
      </w:r>
    </w:p>
    <w:p w14:paraId="69311749">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环境标志产品：不适用本项目；</w:t>
      </w:r>
    </w:p>
    <w:p w14:paraId="3491DF41">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促进中小企业发展的相关政策：</w:t>
      </w:r>
    </w:p>
    <w:p w14:paraId="10E769E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firstLine="720" w:firstLineChars="3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采购包1：专门采购包预留</w:t>
      </w:r>
    </w:p>
    <w:p w14:paraId="3EE4DB56">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firstLine="720" w:firstLineChars="3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面向的企业规模：中小企业</w:t>
      </w:r>
    </w:p>
    <w:p w14:paraId="70D6BD8B">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firstLine="720" w:firstLineChars="3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预留形式：专门采购包预留</w:t>
      </w:r>
    </w:p>
    <w:p w14:paraId="75125959">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firstLine="720" w:firstLineChars="3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预留比例：100%</w:t>
      </w:r>
    </w:p>
    <w:p w14:paraId="254F768D">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6、投标人的资格要求</w:t>
      </w:r>
    </w:p>
    <w:p w14:paraId="5933B10E">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960" w:firstLineChars="400"/>
        <w:jc w:val="both"/>
        <w:textAlignment w:val="auto"/>
        <w:rPr>
          <w:rFonts w:ascii="宋体" w:hAnsi="宋体" w:eastAsia="宋体" w:cs="宋体"/>
          <w:color w:val="auto"/>
          <w:sz w:val="24"/>
          <w:szCs w:val="24"/>
        </w:rPr>
      </w:pPr>
      <w:r>
        <w:rPr>
          <w:rFonts w:ascii="宋体" w:hAnsi="宋体" w:eastAsia="宋体" w:cs="宋体"/>
          <w:color w:val="auto"/>
          <w:sz w:val="24"/>
          <w:szCs w:val="24"/>
        </w:rPr>
        <w:t>6.1法定条件：符合政府采购法第二十二条第一款规定的条件。</w:t>
      </w:r>
    </w:p>
    <w:p w14:paraId="453438DF">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960"/>
        <w:jc w:val="both"/>
        <w:textAlignment w:val="auto"/>
        <w:rPr>
          <w:rFonts w:ascii="宋体" w:hAnsi="宋体" w:eastAsia="宋体" w:cs="宋体"/>
          <w:color w:val="auto"/>
          <w:sz w:val="24"/>
          <w:szCs w:val="24"/>
        </w:rPr>
      </w:pPr>
      <w:r>
        <w:rPr>
          <w:rFonts w:ascii="宋体" w:hAnsi="宋体" w:eastAsia="宋体" w:cs="宋体"/>
          <w:color w:val="auto"/>
          <w:sz w:val="24"/>
          <w:szCs w:val="24"/>
        </w:rPr>
        <w:t>6.2特定条件：</w:t>
      </w:r>
    </w:p>
    <w:p w14:paraId="6B91D9D6">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960"/>
        <w:jc w:val="both"/>
        <w:textAlignment w:val="auto"/>
        <w:rPr>
          <w:rFonts w:ascii="宋体" w:hAnsi="宋体" w:eastAsia="宋体" w:cs="宋体"/>
          <w:color w:val="auto"/>
          <w:sz w:val="24"/>
          <w:szCs w:val="24"/>
        </w:rPr>
      </w:pPr>
      <w:r>
        <w:rPr>
          <w:rFonts w:ascii="宋体" w:hAnsi="宋体" w:eastAsia="宋体" w:cs="宋体"/>
          <w:color w:val="auto"/>
          <w:sz w:val="24"/>
          <w:szCs w:val="24"/>
        </w:rPr>
        <w:t>采购包1：</w:t>
      </w:r>
    </w:p>
    <w:tbl>
      <w:tblPr>
        <w:tblStyle w:val="15"/>
        <w:tblW w:w="4853" w:type="pct"/>
        <w:tblInd w:w="13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6801"/>
      </w:tblGrid>
      <w:tr w14:paraId="1639D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1379" w:type="pct"/>
            <w:vAlign w:val="center"/>
          </w:tcPr>
          <w:p w14:paraId="498CA51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资格审查要求概况</w:t>
            </w:r>
          </w:p>
        </w:tc>
        <w:tc>
          <w:tcPr>
            <w:tcW w:w="3620" w:type="pct"/>
            <w:vAlign w:val="center"/>
          </w:tcPr>
          <w:p w14:paraId="38331BB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评审点具体描述</w:t>
            </w:r>
          </w:p>
        </w:tc>
      </w:tr>
      <w:tr w14:paraId="7C411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pct"/>
            <w:vAlign w:val="center"/>
          </w:tcPr>
          <w:p w14:paraId="2DADB8C5">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jc w:val="both"/>
              <w:textAlignment w:val="auto"/>
              <w:rPr>
                <w:rFonts w:ascii="宋体" w:hAnsi="宋体" w:eastAsia="宋体" w:cs="宋体"/>
                <w:color w:val="auto"/>
                <w:sz w:val="24"/>
                <w:szCs w:val="24"/>
              </w:rPr>
            </w:pPr>
            <w:r>
              <w:rPr>
                <w:rFonts w:ascii="宋体" w:hAnsi="宋体" w:eastAsia="宋体" w:cs="宋体"/>
                <w:color w:val="auto"/>
                <w:sz w:val="24"/>
                <w:szCs w:val="24"/>
              </w:rPr>
              <w:t>资格承诺函</w:t>
            </w:r>
          </w:p>
        </w:tc>
        <w:tc>
          <w:tcPr>
            <w:tcW w:w="3620" w:type="pct"/>
            <w:vAlign w:val="top"/>
          </w:tcPr>
          <w:p w14:paraId="30F46970">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jc w:val="both"/>
              <w:textAlignment w:val="auto"/>
              <w:rPr>
                <w:rFonts w:ascii="宋体" w:hAnsi="宋体" w:eastAsia="宋体" w:cs="宋体"/>
                <w:color w:val="auto"/>
                <w:sz w:val="24"/>
                <w:szCs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6386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0A865F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0" w:lineRule="exact"/>
              <w:ind w:left="0" w:leftChars="0" w:right="0" w:rightChars="0" w:firstLine="0" w:firstLineChars="0"/>
              <w:jc w:val="left"/>
              <w:textAlignment w:val="auto"/>
              <w:rPr>
                <w:rFonts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highlight w:val="none"/>
                <w:lang w:val="en-US" w:eastAsia="zh-CN" w:bidi="ar"/>
              </w:rPr>
              <w:t>本采购包属于专门面向中小企业采购。</w:t>
            </w:r>
          </w:p>
        </w:tc>
        <w:tc>
          <w:tcPr>
            <w:tcW w:w="6801" w:type="dxa"/>
            <w:vAlign w:val="center"/>
          </w:tcPr>
          <w:p w14:paraId="6E3C58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0" w:lineRule="exact"/>
              <w:ind w:left="0" w:leftChars="0" w:right="0" w:rightChars="0" w:firstLine="0" w:firstLineChars="0"/>
              <w:jc w:val="left"/>
              <w:textAlignment w:val="auto"/>
              <w:rPr>
                <w:rFonts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highlight w:val="none"/>
                <w:lang w:val="en-US" w:eastAsia="zh-CN" w:bidi="ar"/>
              </w:rPr>
              <w:t>本采购包为专门面向中小企业采购，投标人须提供《中小企业声明函</w:t>
            </w:r>
            <w:r>
              <w:rPr>
                <w:rFonts w:hint="eastAsia" w:ascii="宋体" w:hAnsi="宋体" w:cs="宋体"/>
                <w:i w:val="0"/>
                <w:iCs w:val="0"/>
                <w:caps w:val="0"/>
                <w:color w:val="auto"/>
                <w:spacing w:val="0"/>
                <w:kern w:val="0"/>
                <w:sz w:val="24"/>
                <w:szCs w:val="24"/>
                <w:highlight w:val="none"/>
                <w:lang w:val="en-US" w:eastAsia="zh-CN" w:bidi="ar"/>
              </w:rPr>
              <w:t>（工程、服务）</w:t>
            </w:r>
            <w:r>
              <w:rPr>
                <w:rFonts w:hint="eastAsia" w:ascii="宋体" w:hAnsi="宋体" w:eastAsia="宋体" w:cs="宋体"/>
                <w:i w:val="0"/>
                <w:iCs w:val="0"/>
                <w:caps w:val="0"/>
                <w:color w:val="auto"/>
                <w:spacing w:val="0"/>
                <w:kern w:val="0"/>
                <w:sz w:val="24"/>
                <w:szCs w:val="24"/>
                <w:highlight w:val="none"/>
                <w:lang w:val="en-US" w:eastAsia="zh-CN" w:bidi="ar"/>
              </w:rPr>
              <w:t>》。若投标人提供的《中小企业声明函》中填写的行业与招标文件明确的采购标的对应的中小企业划分标准所属行业不一致，则不予认定为中小企业。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采购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投标人应按照采购文件第七章规定提供。注：享受扶持政策获得政府采购合同的，小微企业不得将合同分包给大中型企业，中型企业不得将合同分包给大型企业。（注：</w:t>
            </w:r>
            <w:r>
              <w:rPr>
                <w:rFonts w:hint="eastAsia" w:ascii="宋体" w:hAnsi="宋体" w:cs="宋体"/>
                <w:i w:val="0"/>
                <w:iCs w:val="0"/>
                <w:caps w:val="0"/>
                <w:color w:val="auto"/>
                <w:spacing w:val="0"/>
                <w:kern w:val="0"/>
                <w:sz w:val="24"/>
                <w:szCs w:val="24"/>
                <w:highlight w:val="none"/>
                <w:lang w:val="en-US" w:eastAsia="zh-CN" w:bidi="ar"/>
              </w:rPr>
              <w:t>本采购包为服务类采购项目</w:t>
            </w:r>
            <w:r>
              <w:rPr>
                <w:rFonts w:hint="eastAsia" w:ascii="宋体" w:hAnsi="宋体" w:eastAsia="宋体" w:cs="宋体"/>
                <w:i w:val="0"/>
                <w:iCs w:val="0"/>
                <w:caps w:val="0"/>
                <w:color w:val="auto"/>
                <w:spacing w:val="0"/>
                <w:kern w:val="0"/>
                <w:sz w:val="24"/>
                <w:szCs w:val="24"/>
                <w:highlight w:val="none"/>
                <w:lang w:val="en-US" w:eastAsia="zh-CN" w:bidi="ar"/>
              </w:rPr>
              <w:t>，采购标的对应的中小企业划分标准所属行业为“</w:t>
            </w:r>
            <w:r>
              <w:rPr>
                <w:rFonts w:ascii="宋体" w:hAnsi="宋体" w:eastAsia="宋体" w:cs="宋体"/>
                <w:color w:val="auto"/>
                <w:kern w:val="0"/>
                <w:sz w:val="24"/>
                <w:szCs w:val="24"/>
                <w:lang w:val="en-US" w:eastAsia="zh-CN" w:bidi="ar"/>
              </w:rPr>
              <w:t>其他未列明行业</w:t>
            </w:r>
            <w:r>
              <w:rPr>
                <w:rFonts w:hint="eastAsia" w:ascii="宋体" w:hAnsi="宋体" w:eastAsia="宋体" w:cs="宋体"/>
                <w:i w:val="0"/>
                <w:iCs w:val="0"/>
                <w:caps w:val="0"/>
                <w:color w:val="auto"/>
                <w:spacing w:val="0"/>
                <w:kern w:val="0"/>
                <w:sz w:val="24"/>
                <w:szCs w:val="24"/>
                <w:highlight w:val="none"/>
                <w:lang w:val="en-US" w:eastAsia="zh-CN" w:bidi="ar"/>
              </w:rPr>
              <w:t>”）</w:t>
            </w:r>
          </w:p>
        </w:tc>
      </w:tr>
    </w:tbl>
    <w:p w14:paraId="518CBC9E">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6.3是否接受联合体投标：</w:t>
      </w:r>
    </w:p>
    <w:p w14:paraId="0B4F6061">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采购包1：不接受</w:t>
      </w:r>
    </w:p>
    <w:p w14:paraId="2F5C5CF0">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rPr>
          <w:rFonts w:ascii="宋体" w:hAnsi="宋体" w:eastAsia="宋体" w:cs="宋体"/>
          <w:color w:val="auto"/>
          <w:sz w:val="24"/>
          <w:szCs w:val="24"/>
        </w:rPr>
      </w:pPr>
      <w:r>
        <w:rPr>
          <w:rFonts w:ascii="宋体" w:hAnsi="宋体" w:eastAsia="宋体" w:cs="宋体"/>
          <w:b/>
          <w:color w:val="auto"/>
          <w:sz w:val="24"/>
          <w:szCs w:val="24"/>
        </w:rPr>
        <w:t>※根据上述资格要求，电子投标文件中应提交的“投标人的资格及资信证明文件”详见招标文件第四章。</w:t>
      </w:r>
    </w:p>
    <w:p w14:paraId="749DDDA7">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7、招标文件的获取</w:t>
      </w:r>
    </w:p>
    <w:p w14:paraId="199D334F">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7.1、招标文件获取期限：详见招标公告或更正公告，若不一致，以更正公告为准。</w:t>
      </w:r>
    </w:p>
    <w:p w14:paraId="4D138F9F">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069BE10A">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7.3、获取地点及方式：注册账号后，通过福建省政府采购网上公开信息系统以下载方式获取。</w:t>
      </w:r>
    </w:p>
    <w:p w14:paraId="4D440DF0">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7.4、招标文件售价：0元。</w:t>
      </w:r>
    </w:p>
    <w:p w14:paraId="22EE0D07">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8、投标截止</w:t>
      </w:r>
    </w:p>
    <w:p w14:paraId="265B537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8.1、投标截止时间：详见招标公告或更正公告，若不一致，以更正公告为准。</w:t>
      </w:r>
    </w:p>
    <w:p w14:paraId="629F1EDA">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770AD017">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9、开标时间及地点</w:t>
      </w:r>
    </w:p>
    <w:p w14:paraId="719E760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详见招标公告或更正公告，若不一致，以更正公告为准。</w:t>
      </w:r>
    </w:p>
    <w:p w14:paraId="73992B2B">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10、公告期限</w:t>
      </w:r>
    </w:p>
    <w:p w14:paraId="46C4EE2F">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10.1、招标公告的公告期限：自财政部和福建省财政厅指定的政府采购信息发布媒体最先发布公告之日起5个工作日。</w:t>
      </w:r>
    </w:p>
    <w:p w14:paraId="5322A012">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10.2、招标文件公告期限：招标文件随同招标公告一并发布，其公告期限与招标公告的公告期限保持一致。</w:t>
      </w:r>
    </w:p>
    <w:p w14:paraId="78C0EB6B">
      <w:pPr>
        <w:pStyle w:val="20"/>
        <w:keepNext w:val="0"/>
        <w:keepLines w:val="0"/>
        <w:pageBreakBefore w:val="0"/>
        <w:widowControl/>
        <w:tabs>
          <w:tab w:val="left" w:pos="450"/>
        </w:tabs>
        <w:kinsoku/>
        <w:overflowPunct/>
        <w:topLinePunct w:val="0"/>
        <w:autoSpaceDE/>
        <w:autoSpaceDN/>
        <w:bidi w:val="0"/>
        <w:adjustRightInd/>
        <w:snapToGrid/>
        <w:spacing w:line="330" w:lineRule="exact"/>
        <w:ind w:left="0" w:leftChars="0" w:right="0" w:rightChars="0" w:firstLine="482" w:firstLineChars="200"/>
        <w:textAlignment w:val="auto"/>
        <w:outlineLvl w:val="2"/>
        <w:rPr>
          <w:rFonts w:ascii="宋体" w:hAnsi="宋体" w:eastAsia="宋体" w:cs="宋体"/>
          <w:color w:val="auto"/>
          <w:sz w:val="24"/>
          <w:szCs w:val="24"/>
          <w:lang w:eastAsia="zh-CN"/>
        </w:rPr>
      </w:pPr>
      <w:r>
        <w:rPr>
          <w:rFonts w:ascii="宋体" w:hAnsi="宋体" w:eastAsia="宋体" w:cs="宋体"/>
          <w:b/>
          <w:color w:val="auto"/>
          <w:sz w:val="24"/>
          <w:szCs w:val="24"/>
        </w:rPr>
        <w:t>11、采购人：</w:t>
      </w:r>
      <w:r>
        <w:rPr>
          <w:rFonts w:hint="eastAsia" w:ascii="宋体" w:hAnsi="宋体" w:eastAsia="宋体" w:cs="宋体"/>
          <w:b/>
          <w:color w:val="auto"/>
          <w:sz w:val="24"/>
          <w:szCs w:val="24"/>
          <w:lang w:eastAsia="zh-CN"/>
        </w:rPr>
        <w:t>福州市闽江公园管理处</w:t>
      </w:r>
    </w:p>
    <w:p w14:paraId="14FF5AFB">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rPr>
          <w:rFonts w:ascii="宋体" w:hAnsi="宋体" w:eastAsia="宋体" w:cs="宋体"/>
          <w:color w:val="auto"/>
          <w:sz w:val="24"/>
          <w:szCs w:val="24"/>
          <w:lang w:eastAsia="zh-CN"/>
        </w:rPr>
      </w:pPr>
      <w:r>
        <w:rPr>
          <w:rFonts w:ascii="宋体" w:hAnsi="宋体" w:eastAsia="宋体" w:cs="宋体"/>
          <w:color w:val="auto"/>
          <w:sz w:val="24"/>
          <w:szCs w:val="24"/>
        </w:rPr>
        <w:t>地址：</w:t>
      </w:r>
      <w:r>
        <w:rPr>
          <w:rFonts w:hint="eastAsia" w:ascii="宋体" w:hAnsi="宋体" w:eastAsia="宋体" w:cs="宋体"/>
          <w:color w:val="auto"/>
          <w:sz w:val="24"/>
          <w:szCs w:val="24"/>
        </w:rPr>
        <w:t>福建省福州市台江区江滨西大道1号</w:t>
      </w:r>
    </w:p>
    <w:p w14:paraId="11D19090">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rPr>
          <w:rFonts w:ascii="宋体" w:hAnsi="宋体" w:eastAsia="宋体" w:cs="宋体"/>
          <w:color w:val="auto"/>
          <w:sz w:val="24"/>
          <w:szCs w:val="24"/>
          <w:lang w:eastAsia="zh-CN"/>
        </w:rPr>
      </w:pPr>
      <w:r>
        <w:rPr>
          <w:rFonts w:ascii="宋体" w:hAnsi="宋体" w:eastAsia="宋体" w:cs="宋体"/>
          <w:color w:val="auto"/>
          <w:sz w:val="24"/>
          <w:szCs w:val="24"/>
        </w:rPr>
        <w:t>邮编：</w:t>
      </w:r>
      <w:r>
        <w:rPr>
          <w:rFonts w:hint="eastAsia" w:ascii="宋体" w:hAnsi="宋体" w:eastAsia="宋体" w:cs="宋体"/>
          <w:color w:val="auto"/>
          <w:sz w:val="24"/>
          <w:szCs w:val="24"/>
        </w:rPr>
        <w:t>350009</w:t>
      </w:r>
    </w:p>
    <w:p w14:paraId="6696133B">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rPr>
        <w:t>联系人：</w:t>
      </w:r>
      <w:r>
        <w:rPr>
          <w:rFonts w:hint="eastAsia" w:ascii="宋体" w:hAnsi="宋体" w:eastAsia="宋体" w:cs="宋体"/>
          <w:color w:val="auto"/>
          <w:sz w:val="24"/>
          <w:szCs w:val="24"/>
          <w:lang w:val="en-US" w:eastAsia="zh-CN"/>
        </w:rPr>
        <w:t>林萌</w:t>
      </w:r>
    </w:p>
    <w:p w14:paraId="63247606">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联系电话：</w:t>
      </w:r>
      <w:r>
        <w:rPr>
          <w:rFonts w:hint="eastAsia" w:ascii="宋体" w:hAnsi="宋体" w:eastAsia="宋体" w:cs="宋体"/>
          <w:color w:val="auto"/>
          <w:sz w:val="24"/>
          <w:szCs w:val="24"/>
        </w:rPr>
        <w:t>0591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83895376</w:t>
      </w:r>
    </w:p>
    <w:p w14:paraId="7C9073F9">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textAlignment w:val="auto"/>
        <w:outlineLvl w:val="2"/>
        <w:rPr>
          <w:rFonts w:ascii="宋体" w:hAnsi="宋体" w:eastAsia="宋体" w:cs="宋体"/>
          <w:color w:val="auto"/>
          <w:sz w:val="24"/>
          <w:szCs w:val="24"/>
        </w:rPr>
      </w:pPr>
      <w:r>
        <w:rPr>
          <w:rFonts w:ascii="宋体" w:hAnsi="宋体" w:eastAsia="宋体" w:cs="宋体"/>
          <w:b/>
          <w:color w:val="auto"/>
          <w:sz w:val="24"/>
          <w:szCs w:val="24"/>
        </w:rPr>
        <w:t>12、代理机构：福建正燊招标代理有限公司</w:t>
      </w:r>
    </w:p>
    <w:p w14:paraId="4006042B">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地址：福建省福州市鼓楼区铜盘路466-5号大自然文化创意园5号楼3层</w:t>
      </w:r>
    </w:p>
    <w:p w14:paraId="096FBDA9">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邮编：350003</w:t>
      </w:r>
    </w:p>
    <w:p w14:paraId="0C5E32FF">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联系人：</w:t>
      </w:r>
      <w:r>
        <w:rPr>
          <w:rFonts w:ascii="宋体" w:hAnsi="宋体" w:eastAsia="宋体" w:cs="宋体"/>
          <w:color w:val="auto"/>
          <w:sz w:val="24"/>
          <w:szCs w:val="24"/>
          <w:lang w:eastAsia="zh-CN"/>
        </w:rPr>
        <w:t>刘晓岩、蓝玉芳、王超、杨婉婷</w:t>
      </w:r>
    </w:p>
    <w:p w14:paraId="5B89783C">
      <w:pPr>
        <w:pStyle w:val="20"/>
        <w:keepNext w:val="0"/>
        <w:keepLines w:val="0"/>
        <w:pageBreakBefore w:val="0"/>
        <w:widowControl/>
        <w:kinsoku/>
        <w:overflowPunct/>
        <w:topLinePunct w:val="0"/>
        <w:autoSpaceDE/>
        <w:autoSpaceDN/>
        <w:bidi w:val="0"/>
        <w:adjustRightInd/>
        <w:snapToGrid/>
        <w:spacing w:line="330" w:lineRule="exact"/>
        <w:ind w:left="0" w:leftChars="0" w:right="0" w:rightChars="0"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联系电话：0591-87767885</w:t>
      </w:r>
    </w:p>
    <w:p w14:paraId="49A38A75">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附1：账户信息</w:t>
      </w:r>
    </w:p>
    <w:tbl>
      <w:tblPr>
        <w:tblStyle w:val="15"/>
        <w:tblW w:w="4882"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8"/>
      </w:tblGrid>
      <w:tr w14:paraId="2B6C0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5000" w:type="pct"/>
          </w:tcPr>
          <w:p w14:paraId="7E7A96F8">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投标保证金账户</w:t>
            </w:r>
          </w:p>
        </w:tc>
      </w:tr>
      <w:tr w14:paraId="19B97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000" w:type="pct"/>
          </w:tcPr>
          <w:p w14:paraId="673E3AC6">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开户名称： 福建正燊招标代理有限公司</w:t>
            </w:r>
          </w:p>
        </w:tc>
      </w:tr>
      <w:tr w14:paraId="0EA3D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FEAF82A">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68477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013A4E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92CC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5" w:hRule="atLeast"/>
        </w:trPr>
        <w:tc>
          <w:tcPr>
            <w:tcW w:w="5000" w:type="pct"/>
          </w:tcPr>
          <w:p w14:paraId="3B073CD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特别提示</w:t>
            </w:r>
          </w:p>
        </w:tc>
      </w:tr>
      <w:tr w14:paraId="4D13A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8AE155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1、投标人应认真核对账户信息，将投标保证金汇入以上账户，并自行承担因汇错投标保证金而产生的一切后果。</w:t>
            </w:r>
          </w:p>
          <w:p w14:paraId="60024383">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 xml:space="preserve"> 2、投标人在转账或电汇的凭证上应按照以下格式注明，以便核对：“（项目编号：***）的投标保证金”。</w:t>
            </w:r>
          </w:p>
        </w:tc>
      </w:tr>
    </w:tbl>
    <w:p w14:paraId="53B31EA3">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附2：采购标的一览表</w:t>
      </w:r>
    </w:p>
    <w:p w14:paraId="7B13EC2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采购包1：</w:t>
      </w:r>
    </w:p>
    <w:p w14:paraId="1774E097">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770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000</w:t>
      </w:r>
      <w:r>
        <w:rPr>
          <w:rFonts w:hint="eastAsia" w:ascii="宋体" w:hAnsi="宋体" w:eastAsia="宋体" w:cs="宋体"/>
          <w:color w:val="auto"/>
          <w:sz w:val="24"/>
          <w:szCs w:val="24"/>
          <w:lang w:eastAsia="zh-CN"/>
        </w:rPr>
        <w:t>.00</w:t>
      </w:r>
    </w:p>
    <w:p w14:paraId="13893BF9">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ascii="宋体" w:hAnsi="宋体" w:eastAsia="宋体" w:cs="宋体"/>
          <w:color w:val="auto"/>
          <w:sz w:val="24"/>
          <w:szCs w:val="24"/>
        </w:rPr>
        <w:t xml:space="preserve">采购包最高限价（元）: </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770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000</w:t>
      </w:r>
      <w:r>
        <w:rPr>
          <w:rFonts w:hint="eastAsia" w:ascii="宋体" w:hAnsi="宋体" w:eastAsia="宋体" w:cs="宋体"/>
          <w:color w:val="auto"/>
          <w:sz w:val="24"/>
          <w:szCs w:val="24"/>
          <w:lang w:eastAsia="zh-CN"/>
        </w:rPr>
        <w:t>.00</w:t>
      </w:r>
    </w:p>
    <w:p w14:paraId="4775D9C1">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137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700</w:t>
      </w:r>
      <w:r>
        <w:rPr>
          <w:rFonts w:ascii="宋体" w:hAnsi="宋体" w:eastAsia="宋体" w:cs="宋体"/>
          <w:color w:val="auto"/>
          <w:sz w:val="24"/>
          <w:szCs w:val="24"/>
        </w:rPr>
        <w:t>.00</w:t>
      </w:r>
    </w:p>
    <w:tbl>
      <w:tblPr>
        <w:tblStyle w:val="15"/>
        <w:tblW w:w="493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0"/>
        <w:gridCol w:w="2565"/>
        <w:gridCol w:w="807"/>
        <w:gridCol w:w="1844"/>
        <w:gridCol w:w="832"/>
        <w:gridCol w:w="1512"/>
        <w:gridCol w:w="1271"/>
      </w:tblGrid>
      <w:tr w14:paraId="04622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0" w:hRule="atLeast"/>
        </w:trPr>
        <w:tc>
          <w:tcPr>
            <w:tcW w:w="372" w:type="pct"/>
            <w:vAlign w:val="center"/>
          </w:tcPr>
          <w:p w14:paraId="14D4D6B5">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序号</w:t>
            </w:r>
          </w:p>
        </w:tc>
        <w:tc>
          <w:tcPr>
            <w:tcW w:w="1344" w:type="pct"/>
            <w:vAlign w:val="center"/>
          </w:tcPr>
          <w:p w14:paraId="5664DAC9">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标的名称</w:t>
            </w:r>
          </w:p>
        </w:tc>
        <w:tc>
          <w:tcPr>
            <w:tcW w:w="422" w:type="pct"/>
            <w:vAlign w:val="center"/>
          </w:tcPr>
          <w:p w14:paraId="22B9E93D">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数量</w:t>
            </w:r>
          </w:p>
        </w:tc>
        <w:tc>
          <w:tcPr>
            <w:tcW w:w="966" w:type="pct"/>
            <w:vAlign w:val="center"/>
          </w:tcPr>
          <w:p w14:paraId="34989836">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标的金额 （元）</w:t>
            </w:r>
          </w:p>
        </w:tc>
        <w:tc>
          <w:tcPr>
            <w:tcW w:w="436" w:type="pct"/>
            <w:vAlign w:val="center"/>
          </w:tcPr>
          <w:p w14:paraId="10929FF3">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计量单位</w:t>
            </w:r>
          </w:p>
        </w:tc>
        <w:tc>
          <w:tcPr>
            <w:tcW w:w="792" w:type="pct"/>
            <w:vAlign w:val="center"/>
          </w:tcPr>
          <w:p w14:paraId="4A65A805">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所属行业</w:t>
            </w:r>
          </w:p>
        </w:tc>
        <w:tc>
          <w:tcPr>
            <w:tcW w:w="666" w:type="pct"/>
            <w:vAlign w:val="center"/>
          </w:tcPr>
          <w:p w14:paraId="0AA5E021">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是否允许进口产品</w:t>
            </w:r>
          </w:p>
        </w:tc>
      </w:tr>
      <w:tr w14:paraId="459A1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372" w:type="pct"/>
            <w:vAlign w:val="center"/>
          </w:tcPr>
          <w:p w14:paraId="7A8E3456">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1</w:t>
            </w:r>
          </w:p>
        </w:tc>
        <w:tc>
          <w:tcPr>
            <w:tcW w:w="1344" w:type="pct"/>
            <w:vAlign w:val="center"/>
          </w:tcPr>
          <w:p w14:paraId="2ED3E1F1">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both"/>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花海公园（含环南台岛江滨休闲路解放大桥至花海公园段）绿化养护服务</w:t>
            </w:r>
          </w:p>
        </w:tc>
        <w:tc>
          <w:tcPr>
            <w:tcW w:w="422" w:type="pct"/>
            <w:vAlign w:val="center"/>
          </w:tcPr>
          <w:p w14:paraId="6634DDEB">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966" w:type="pct"/>
            <w:vAlign w:val="center"/>
          </w:tcPr>
          <w:p w14:paraId="1D288C7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770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000</w:t>
            </w:r>
            <w:r>
              <w:rPr>
                <w:rFonts w:hint="eastAsia" w:ascii="宋体" w:hAnsi="宋体" w:eastAsia="宋体" w:cs="宋体"/>
                <w:color w:val="auto"/>
                <w:sz w:val="24"/>
                <w:szCs w:val="24"/>
                <w:lang w:eastAsia="zh-CN"/>
              </w:rPr>
              <w:t>.00</w:t>
            </w:r>
          </w:p>
        </w:tc>
        <w:tc>
          <w:tcPr>
            <w:tcW w:w="436" w:type="pct"/>
            <w:vAlign w:val="center"/>
          </w:tcPr>
          <w:p w14:paraId="68180FC9">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p>
        </w:tc>
        <w:tc>
          <w:tcPr>
            <w:tcW w:w="792" w:type="pct"/>
            <w:vAlign w:val="center"/>
          </w:tcPr>
          <w:p w14:paraId="1AC8F852">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其他未列明行业</w:t>
            </w:r>
          </w:p>
        </w:tc>
        <w:tc>
          <w:tcPr>
            <w:tcW w:w="666" w:type="pct"/>
            <w:vAlign w:val="center"/>
          </w:tcPr>
          <w:p w14:paraId="56D6981D">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否</w:t>
            </w:r>
          </w:p>
        </w:tc>
      </w:tr>
    </w:tbl>
    <w:p w14:paraId="1BE02AED">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采购包1：</w:t>
      </w:r>
    </w:p>
    <w:p w14:paraId="1B4B890D">
      <w:pPr>
        <w:pStyle w:val="20"/>
        <w:keepNext w:val="0"/>
        <w:keepLines w:val="0"/>
        <w:pageBreakBefore w:val="0"/>
        <w:widowControl/>
        <w:numPr>
          <w:ilvl w:val="0"/>
          <w:numId w:val="1"/>
        </w:numPr>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报价要求：</w:t>
      </w:r>
    </w:p>
    <w:tbl>
      <w:tblPr>
        <w:tblStyle w:val="15"/>
        <w:tblW w:w="497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2821"/>
        <w:gridCol w:w="1320"/>
        <w:gridCol w:w="1287"/>
        <w:gridCol w:w="1831"/>
        <w:gridCol w:w="794"/>
        <w:gridCol w:w="868"/>
      </w:tblGrid>
      <w:tr w14:paraId="4EED9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trPr>
        <w:tc>
          <w:tcPr>
            <w:tcW w:w="368" w:type="pct"/>
            <w:vAlign w:val="center"/>
          </w:tcPr>
          <w:p w14:paraId="34E6FE2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序号</w:t>
            </w:r>
          </w:p>
        </w:tc>
        <w:tc>
          <w:tcPr>
            <w:tcW w:w="1464" w:type="pct"/>
            <w:vAlign w:val="center"/>
          </w:tcPr>
          <w:p w14:paraId="1A03C730">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报价内容</w:t>
            </w:r>
          </w:p>
        </w:tc>
        <w:tc>
          <w:tcPr>
            <w:tcW w:w="685" w:type="pct"/>
            <w:vAlign w:val="center"/>
          </w:tcPr>
          <w:p w14:paraId="086BBCB5">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计量单位</w:t>
            </w:r>
          </w:p>
        </w:tc>
        <w:tc>
          <w:tcPr>
            <w:tcW w:w="668" w:type="pct"/>
            <w:vAlign w:val="center"/>
          </w:tcPr>
          <w:p w14:paraId="260FA3F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报价单位</w:t>
            </w:r>
          </w:p>
        </w:tc>
        <w:tc>
          <w:tcPr>
            <w:tcW w:w="950" w:type="pct"/>
            <w:vAlign w:val="center"/>
          </w:tcPr>
          <w:p w14:paraId="178E941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最高限价</w:t>
            </w:r>
          </w:p>
        </w:tc>
        <w:tc>
          <w:tcPr>
            <w:tcW w:w="412" w:type="pct"/>
            <w:vAlign w:val="center"/>
          </w:tcPr>
          <w:p w14:paraId="7286C27F">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价款形式</w:t>
            </w:r>
          </w:p>
        </w:tc>
        <w:tc>
          <w:tcPr>
            <w:tcW w:w="450" w:type="pct"/>
            <w:vAlign w:val="center"/>
          </w:tcPr>
          <w:p w14:paraId="05E4F6C4">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报价说明</w:t>
            </w:r>
          </w:p>
        </w:tc>
      </w:tr>
      <w:tr w14:paraId="13D3E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7" w:hRule="atLeast"/>
        </w:trPr>
        <w:tc>
          <w:tcPr>
            <w:tcW w:w="368" w:type="pct"/>
            <w:vAlign w:val="center"/>
          </w:tcPr>
          <w:p w14:paraId="3A6FFC7A">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1</w:t>
            </w:r>
          </w:p>
        </w:tc>
        <w:tc>
          <w:tcPr>
            <w:tcW w:w="1464" w:type="pct"/>
            <w:vAlign w:val="center"/>
          </w:tcPr>
          <w:p w14:paraId="0094F385">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花海公园(含环南台岛江滨休闲路解放大桥至花海公园段)绿化养护服务</w:t>
            </w:r>
          </w:p>
        </w:tc>
        <w:tc>
          <w:tcPr>
            <w:tcW w:w="685" w:type="pct"/>
            <w:vAlign w:val="center"/>
          </w:tcPr>
          <w:p w14:paraId="15AB45D5">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p>
        </w:tc>
        <w:tc>
          <w:tcPr>
            <w:tcW w:w="668" w:type="pct"/>
            <w:vAlign w:val="center"/>
          </w:tcPr>
          <w:p w14:paraId="56A8F9E8">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元</w:t>
            </w:r>
          </w:p>
        </w:tc>
        <w:tc>
          <w:tcPr>
            <w:tcW w:w="950" w:type="pct"/>
            <w:vAlign w:val="center"/>
          </w:tcPr>
          <w:p w14:paraId="65BD20FD">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13,770,000.00</w:t>
            </w:r>
          </w:p>
        </w:tc>
        <w:tc>
          <w:tcPr>
            <w:tcW w:w="412" w:type="pct"/>
            <w:vAlign w:val="center"/>
          </w:tcPr>
          <w:p w14:paraId="0BC61C7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总价</w:t>
            </w:r>
          </w:p>
        </w:tc>
        <w:tc>
          <w:tcPr>
            <w:tcW w:w="450" w:type="pct"/>
            <w:vAlign w:val="center"/>
          </w:tcPr>
          <w:p w14:paraId="57507062">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无</w:t>
            </w:r>
          </w:p>
        </w:tc>
      </w:tr>
    </w:tbl>
    <w:p w14:paraId="43B5C8D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rPr>
      </w:pPr>
      <w:r>
        <w:rPr>
          <w:rFonts w:ascii="宋体" w:hAnsi="宋体" w:eastAsia="宋体" w:cs="宋体"/>
          <w:color w:val="auto"/>
          <w:sz w:val="24"/>
          <w:szCs w:val="24"/>
        </w:rPr>
        <w:t>（2）报价明细要求：</w:t>
      </w:r>
    </w:p>
    <w:p w14:paraId="7B4AF7F8">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花海公园(含环南台岛江滨休闲路解放大桥至花海公园段)绿化养护服务采购项目</w:t>
      </w:r>
    </w:p>
    <w:tbl>
      <w:tblPr>
        <w:tblStyle w:val="15"/>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2296"/>
        <w:gridCol w:w="2219"/>
        <w:gridCol w:w="736"/>
        <w:gridCol w:w="719"/>
        <w:gridCol w:w="1464"/>
        <w:gridCol w:w="795"/>
        <w:gridCol w:w="733"/>
      </w:tblGrid>
      <w:tr w14:paraId="6B9B2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0" w:hRule="atLeast"/>
        </w:trPr>
        <w:tc>
          <w:tcPr>
            <w:tcW w:w="361" w:type="pct"/>
            <w:vAlign w:val="center"/>
          </w:tcPr>
          <w:p w14:paraId="31392A73">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序号</w:t>
            </w:r>
          </w:p>
        </w:tc>
        <w:tc>
          <w:tcPr>
            <w:tcW w:w="1188" w:type="pct"/>
            <w:vAlign w:val="center"/>
          </w:tcPr>
          <w:p w14:paraId="33867A31">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报价明细内容</w:t>
            </w:r>
          </w:p>
        </w:tc>
        <w:tc>
          <w:tcPr>
            <w:tcW w:w="1148" w:type="pct"/>
            <w:vAlign w:val="center"/>
          </w:tcPr>
          <w:p w14:paraId="16D66E2A">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报价要求</w:t>
            </w:r>
          </w:p>
        </w:tc>
        <w:tc>
          <w:tcPr>
            <w:tcW w:w="380" w:type="pct"/>
            <w:vAlign w:val="center"/>
          </w:tcPr>
          <w:p w14:paraId="6BC163CB">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计量</w:t>
            </w:r>
          </w:p>
          <w:p w14:paraId="0E5D8281">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单位</w:t>
            </w:r>
          </w:p>
        </w:tc>
        <w:tc>
          <w:tcPr>
            <w:tcW w:w="372" w:type="pct"/>
            <w:vAlign w:val="center"/>
          </w:tcPr>
          <w:p w14:paraId="55F533C2">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w:t>
            </w:r>
          </w:p>
          <w:p w14:paraId="6A64ED83">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单位</w:t>
            </w:r>
          </w:p>
        </w:tc>
        <w:tc>
          <w:tcPr>
            <w:tcW w:w="757" w:type="pct"/>
            <w:vAlign w:val="center"/>
          </w:tcPr>
          <w:p w14:paraId="31135347">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最高限价</w:t>
            </w:r>
          </w:p>
        </w:tc>
        <w:tc>
          <w:tcPr>
            <w:tcW w:w="411" w:type="pct"/>
            <w:vAlign w:val="center"/>
          </w:tcPr>
          <w:p w14:paraId="516D0C17">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价款</w:t>
            </w:r>
          </w:p>
          <w:p w14:paraId="2B48DE22">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形式</w:t>
            </w:r>
          </w:p>
        </w:tc>
        <w:tc>
          <w:tcPr>
            <w:tcW w:w="379" w:type="pct"/>
            <w:vAlign w:val="center"/>
          </w:tcPr>
          <w:p w14:paraId="2E11EE08">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报价</w:t>
            </w:r>
          </w:p>
          <w:p w14:paraId="0595020D">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说明</w:t>
            </w:r>
          </w:p>
        </w:tc>
      </w:tr>
      <w:tr w14:paraId="10DEC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361" w:type="pct"/>
            <w:vAlign w:val="center"/>
          </w:tcPr>
          <w:p w14:paraId="106EF752">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1</w:t>
            </w:r>
          </w:p>
        </w:tc>
        <w:tc>
          <w:tcPr>
            <w:tcW w:w="1188" w:type="pct"/>
            <w:vAlign w:val="center"/>
          </w:tcPr>
          <w:p w14:paraId="2D365E06">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花海公园绿化及播种养护</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项目</w:t>
            </w:r>
          </w:p>
        </w:tc>
        <w:tc>
          <w:tcPr>
            <w:tcW w:w="1148" w:type="pct"/>
            <w:vAlign w:val="center"/>
          </w:tcPr>
          <w:p w14:paraId="5B5DE688">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花海公园绿化及播种养护</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项目</w:t>
            </w:r>
          </w:p>
        </w:tc>
        <w:tc>
          <w:tcPr>
            <w:tcW w:w="380" w:type="pct"/>
            <w:vAlign w:val="center"/>
          </w:tcPr>
          <w:p w14:paraId="25443E0F">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p>
        </w:tc>
        <w:tc>
          <w:tcPr>
            <w:tcW w:w="372" w:type="pct"/>
            <w:vAlign w:val="center"/>
          </w:tcPr>
          <w:p w14:paraId="189D69F9">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元</w:t>
            </w:r>
          </w:p>
        </w:tc>
        <w:tc>
          <w:tcPr>
            <w:tcW w:w="757" w:type="pct"/>
            <w:vAlign w:val="center"/>
          </w:tcPr>
          <w:p w14:paraId="32DCC53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13,500,000.00</w:t>
            </w:r>
          </w:p>
        </w:tc>
        <w:tc>
          <w:tcPr>
            <w:tcW w:w="411" w:type="pct"/>
            <w:vAlign w:val="center"/>
          </w:tcPr>
          <w:p w14:paraId="69E35A40">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总价</w:t>
            </w:r>
          </w:p>
        </w:tc>
        <w:tc>
          <w:tcPr>
            <w:tcW w:w="379" w:type="pct"/>
            <w:vAlign w:val="center"/>
          </w:tcPr>
          <w:p w14:paraId="58086892">
            <w:pPr>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无</w:t>
            </w:r>
          </w:p>
        </w:tc>
      </w:tr>
      <w:tr w14:paraId="3D997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361" w:type="pct"/>
            <w:vAlign w:val="center"/>
          </w:tcPr>
          <w:p w14:paraId="58F4736C">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88" w:type="pct"/>
            <w:vAlign w:val="center"/>
          </w:tcPr>
          <w:p w14:paraId="63A18B88">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环南台岛滨江休闲路解放大桥至花海公园段绿化</w:t>
            </w:r>
            <w:r>
              <w:rPr>
                <w:rFonts w:hint="eastAsia" w:ascii="宋体" w:hAnsi="宋体" w:eastAsia="宋体" w:cs="宋体"/>
                <w:color w:val="auto"/>
                <w:sz w:val="24"/>
                <w:szCs w:val="24"/>
                <w:lang w:val="en-US" w:eastAsia="zh-CN"/>
              </w:rPr>
              <w:t>养护服务</w:t>
            </w:r>
            <w:r>
              <w:rPr>
                <w:rFonts w:hint="eastAsia" w:ascii="宋体" w:hAnsi="宋体" w:eastAsia="宋体" w:cs="宋体"/>
                <w:color w:val="auto"/>
                <w:sz w:val="24"/>
                <w:szCs w:val="24"/>
              </w:rPr>
              <w:t>项目</w:t>
            </w:r>
          </w:p>
        </w:tc>
        <w:tc>
          <w:tcPr>
            <w:tcW w:w="1148" w:type="pct"/>
            <w:vAlign w:val="center"/>
          </w:tcPr>
          <w:p w14:paraId="23CC08BF">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环南台岛滨江休闲路解放大桥至花海公园段绿化</w:t>
            </w:r>
            <w:r>
              <w:rPr>
                <w:rFonts w:hint="eastAsia" w:ascii="宋体" w:hAnsi="宋体" w:eastAsia="宋体" w:cs="宋体"/>
                <w:color w:val="auto"/>
                <w:sz w:val="24"/>
                <w:szCs w:val="24"/>
                <w:lang w:val="en-US" w:eastAsia="zh-CN"/>
              </w:rPr>
              <w:t>养护服务</w:t>
            </w:r>
            <w:r>
              <w:rPr>
                <w:rFonts w:hint="eastAsia" w:ascii="宋体" w:hAnsi="宋体" w:eastAsia="宋体" w:cs="宋体"/>
                <w:color w:val="auto"/>
                <w:sz w:val="24"/>
                <w:szCs w:val="24"/>
              </w:rPr>
              <w:t>项目</w:t>
            </w:r>
          </w:p>
        </w:tc>
        <w:tc>
          <w:tcPr>
            <w:tcW w:w="380" w:type="pct"/>
            <w:vAlign w:val="center"/>
          </w:tcPr>
          <w:p w14:paraId="560EA4D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p>
        </w:tc>
        <w:tc>
          <w:tcPr>
            <w:tcW w:w="372" w:type="pct"/>
            <w:vAlign w:val="center"/>
          </w:tcPr>
          <w:p w14:paraId="21EECBFB">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元</w:t>
            </w:r>
          </w:p>
        </w:tc>
        <w:tc>
          <w:tcPr>
            <w:tcW w:w="757" w:type="pct"/>
            <w:vAlign w:val="center"/>
          </w:tcPr>
          <w:p w14:paraId="7189FF92">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270,000.00</w:t>
            </w:r>
          </w:p>
        </w:tc>
        <w:tc>
          <w:tcPr>
            <w:tcW w:w="411" w:type="pct"/>
            <w:vAlign w:val="center"/>
          </w:tcPr>
          <w:p w14:paraId="7750DD5E">
            <w:pPr>
              <w:pStyle w:val="20"/>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rPr>
            </w:pPr>
            <w:r>
              <w:rPr>
                <w:rFonts w:ascii="宋体" w:hAnsi="宋体" w:eastAsia="宋体" w:cs="宋体"/>
                <w:color w:val="auto"/>
                <w:sz w:val="24"/>
                <w:szCs w:val="24"/>
              </w:rPr>
              <w:t>总价</w:t>
            </w:r>
          </w:p>
        </w:tc>
        <w:tc>
          <w:tcPr>
            <w:tcW w:w="379" w:type="pct"/>
            <w:vAlign w:val="center"/>
          </w:tcPr>
          <w:p w14:paraId="6F3549EC">
            <w:pPr>
              <w:keepNext w:val="0"/>
              <w:keepLines w:val="0"/>
              <w:pageBreakBefore w:val="0"/>
              <w:widowControl/>
              <w:kinsoku/>
              <w:wordWrap/>
              <w:overflowPunct/>
              <w:topLinePunct w:val="0"/>
              <w:autoSpaceDE/>
              <w:autoSpaceDN/>
              <w:bidi w:val="0"/>
              <w:adjustRightInd/>
              <w:snapToGrid/>
              <w:spacing w:line="330" w:lineRule="exact"/>
              <w:ind w:left="0" w:leftChars="0" w:right="0" w:rightChars="0"/>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无</w:t>
            </w:r>
          </w:p>
        </w:tc>
      </w:tr>
    </w:tbl>
    <w:p w14:paraId="33C28009">
      <w:pPr>
        <w:pStyle w:val="20"/>
        <w:jc w:val="center"/>
        <w:outlineLvl w:val="1"/>
        <w:rPr>
          <w:rFonts w:ascii="宋体" w:hAnsi="宋体" w:eastAsia="宋体" w:cs="宋体"/>
          <w:color w:val="auto"/>
        </w:rPr>
      </w:pPr>
      <w:r>
        <w:rPr>
          <w:rFonts w:ascii="宋体" w:hAnsi="宋体" w:eastAsia="宋体" w:cs="宋体"/>
          <w:b/>
          <w:color w:val="auto"/>
          <w:sz w:val="36"/>
        </w:rPr>
        <w:t>第二章 投标人须知前附表</w:t>
      </w:r>
    </w:p>
    <w:p w14:paraId="0FA15784">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一、投标人须知前附表1</w:t>
      </w:r>
    </w:p>
    <w:tbl>
      <w:tblPr>
        <w:tblStyle w:val="15"/>
        <w:tblW w:w="493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5"/>
        <w:gridCol w:w="1377"/>
        <w:gridCol w:w="7154"/>
      </w:tblGrid>
      <w:tr w14:paraId="7B868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5" w:hRule="atLeast"/>
        </w:trPr>
        <w:tc>
          <w:tcPr>
            <w:tcW w:w="5000" w:type="pct"/>
            <w:gridSpan w:val="3"/>
          </w:tcPr>
          <w:p w14:paraId="2FADCDDA">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特别提示：本表与招标文件对应章节的内容若不一致，以本表为准。</w:t>
            </w:r>
          </w:p>
        </w:tc>
      </w:tr>
      <w:tr w14:paraId="4C4D7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209EFE88">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序号</w:t>
            </w:r>
          </w:p>
        </w:tc>
        <w:tc>
          <w:tcPr>
            <w:tcW w:w="721" w:type="pct"/>
            <w:vAlign w:val="center"/>
          </w:tcPr>
          <w:p w14:paraId="4EC8E558">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招标文件</w:t>
            </w:r>
          </w:p>
          <w:p w14:paraId="4FCBE236">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（第三章）</w:t>
            </w:r>
          </w:p>
        </w:tc>
        <w:tc>
          <w:tcPr>
            <w:tcW w:w="3746" w:type="pct"/>
            <w:vAlign w:val="center"/>
          </w:tcPr>
          <w:p w14:paraId="161BF797">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编列内容</w:t>
            </w:r>
          </w:p>
        </w:tc>
      </w:tr>
      <w:tr w14:paraId="1B2DA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1FA8E15B">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1</w:t>
            </w:r>
          </w:p>
        </w:tc>
        <w:tc>
          <w:tcPr>
            <w:tcW w:w="721" w:type="pct"/>
            <w:vAlign w:val="center"/>
          </w:tcPr>
          <w:p w14:paraId="4E32F30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6.1</w:t>
            </w:r>
          </w:p>
        </w:tc>
        <w:tc>
          <w:tcPr>
            <w:tcW w:w="3746" w:type="pct"/>
            <w:vAlign w:val="center"/>
          </w:tcPr>
          <w:p w14:paraId="7469A84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是否组织现场考察或召开开标前答疑会：</w:t>
            </w:r>
          </w:p>
          <w:p w14:paraId="5E2CFCB6">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采购包1：不组织</w:t>
            </w:r>
          </w:p>
        </w:tc>
      </w:tr>
      <w:tr w14:paraId="78619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6BF65A12">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2</w:t>
            </w:r>
          </w:p>
        </w:tc>
        <w:tc>
          <w:tcPr>
            <w:tcW w:w="721" w:type="pct"/>
            <w:vAlign w:val="center"/>
          </w:tcPr>
          <w:p w14:paraId="4EDA6BAE">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10.4</w:t>
            </w:r>
          </w:p>
        </w:tc>
        <w:tc>
          <w:tcPr>
            <w:tcW w:w="3746" w:type="pct"/>
            <w:vAlign w:val="center"/>
          </w:tcPr>
          <w:p w14:paraId="131088FE">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投标文件的份数：</w:t>
            </w:r>
          </w:p>
          <w:p w14:paraId="48F04E67">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 xml:space="preserve"> （1）可读介质（光盘或U盘）</w:t>
            </w:r>
            <w:r>
              <w:rPr>
                <w:rFonts w:ascii="宋体" w:hAnsi="宋体" w:eastAsia="宋体" w:cs="宋体"/>
                <w:color w:val="auto"/>
                <w:sz w:val="24"/>
                <w:szCs w:val="24"/>
                <w:u w:val="single"/>
                <w:lang w:eastAsia="zh-CN"/>
              </w:rPr>
              <w:t>0</w:t>
            </w:r>
            <w:r>
              <w:rPr>
                <w:rFonts w:ascii="宋体" w:hAnsi="宋体" w:eastAsia="宋体" w:cs="宋体"/>
                <w:color w:val="auto"/>
                <w:sz w:val="24"/>
                <w:szCs w:val="24"/>
                <w:u w:val="single"/>
              </w:rPr>
              <w:t xml:space="preserve"> </w:t>
            </w:r>
            <w:r>
              <w:rPr>
                <w:rFonts w:ascii="宋体" w:hAnsi="宋体" w:eastAsia="宋体" w:cs="宋体"/>
                <w:color w:val="auto"/>
                <w:sz w:val="24"/>
                <w:szCs w:val="24"/>
              </w:rPr>
              <w:t>份：投标人应将其上传至福建省政府采购网上公开信息系统的电子投标文件在该可读介质中另存</w:t>
            </w:r>
            <w:r>
              <w:rPr>
                <w:rFonts w:ascii="宋体" w:hAnsi="宋体" w:eastAsia="宋体" w:cs="宋体"/>
                <w:color w:val="auto"/>
                <w:sz w:val="24"/>
                <w:szCs w:val="24"/>
                <w:u w:val="single"/>
              </w:rPr>
              <w:t xml:space="preserve"> </w:t>
            </w:r>
            <w:r>
              <w:rPr>
                <w:rFonts w:ascii="宋体" w:hAnsi="宋体" w:eastAsia="宋体" w:cs="宋体"/>
                <w:color w:val="auto"/>
                <w:sz w:val="24"/>
                <w:szCs w:val="24"/>
                <w:u w:val="single"/>
                <w:lang w:eastAsia="zh-CN"/>
              </w:rPr>
              <w:t>0</w:t>
            </w:r>
            <w:r>
              <w:rPr>
                <w:rFonts w:ascii="宋体" w:hAnsi="宋体" w:eastAsia="宋体" w:cs="宋体"/>
                <w:color w:val="auto"/>
                <w:sz w:val="24"/>
                <w:szCs w:val="24"/>
              </w:rPr>
              <w:t>份。</w:t>
            </w:r>
          </w:p>
          <w:p w14:paraId="00D55668">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 xml:space="preserve"> （2）电子投标文件：详见投标人须知前附表2《关于电子招标投标活动的专门规定》。</w:t>
            </w:r>
          </w:p>
        </w:tc>
      </w:tr>
      <w:tr w14:paraId="67EB2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04A0ED99">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3</w:t>
            </w:r>
          </w:p>
        </w:tc>
        <w:tc>
          <w:tcPr>
            <w:tcW w:w="721" w:type="pct"/>
            <w:vAlign w:val="center"/>
          </w:tcPr>
          <w:p w14:paraId="0B92A6B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10.7-（1）</w:t>
            </w:r>
          </w:p>
        </w:tc>
        <w:tc>
          <w:tcPr>
            <w:tcW w:w="3746" w:type="pct"/>
            <w:vAlign w:val="center"/>
          </w:tcPr>
          <w:p w14:paraId="3FCAEDEB">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是否允许中标人将本项目的非主体、非关键性工作进行分包：</w:t>
            </w:r>
          </w:p>
          <w:p w14:paraId="22964709">
            <w:pPr>
              <w:pStyle w:val="20"/>
              <w:spacing w:line="360" w:lineRule="exact"/>
              <w:jc w:val="both"/>
              <w:rPr>
                <w:rFonts w:ascii="宋体" w:hAnsi="宋体" w:eastAsia="宋体" w:cs="宋体"/>
                <w:color w:val="auto"/>
                <w:sz w:val="24"/>
                <w:szCs w:val="24"/>
                <w:lang w:eastAsia="zh-CN"/>
              </w:rPr>
            </w:pPr>
            <w:r>
              <w:rPr>
                <w:rFonts w:ascii="宋体" w:hAnsi="宋体" w:eastAsia="宋体" w:cs="宋体"/>
                <w:color w:val="auto"/>
                <w:sz w:val="24"/>
                <w:szCs w:val="24"/>
              </w:rPr>
              <w:t>采购包1：</w:t>
            </w:r>
            <w:r>
              <w:rPr>
                <w:rFonts w:ascii="宋体" w:hAnsi="宋体" w:eastAsia="宋体" w:cs="宋体"/>
                <w:bCs/>
                <w:color w:val="auto"/>
                <w:sz w:val="24"/>
                <w:szCs w:val="24"/>
              </w:rPr>
              <w:t>不允许合同分包</w:t>
            </w:r>
            <w:r>
              <w:rPr>
                <w:rFonts w:ascii="宋体" w:hAnsi="宋体" w:eastAsia="宋体" w:cs="宋体"/>
                <w:bCs/>
                <w:color w:val="auto"/>
                <w:sz w:val="24"/>
                <w:szCs w:val="24"/>
                <w:lang w:eastAsia="zh-CN"/>
              </w:rPr>
              <w:t>；</w:t>
            </w:r>
          </w:p>
        </w:tc>
      </w:tr>
      <w:tr w14:paraId="13CF5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532" w:type="pct"/>
            <w:vAlign w:val="center"/>
          </w:tcPr>
          <w:p w14:paraId="66BE10C4">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4</w:t>
            </w:r>
          </w:p>
        </w:tc>
        <w:tc>
          <w:tcPr>
            <w:tcW w:w="721" w:type="pct"/>
            <w:vAlign w:val="center"/>
          </w:tcPr>
          <w:p w14:paraId="0C0DA8B1">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10.8-（1）</w:t>
            </w:r>
          </w:p>
        </w:tc>
        <w:tc>
          <w:tcPr>
            <w:tcW w:w="3746" w:type="pct"/>
            <w:vAlign w:val="center"/>
          </w:tcPr>
          <w:p w14:paraId="7D24117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投标有效期：投标截止时间起</w:t>
            </w:r>
            <w:r>
              <w:rPr>
                <w:rFonts w:ascii="宋体" w:hAnsi="宋体" w:eastAsia="宋体" w:cs="宋体"/>
                <w:color w:val="auto"/>
                <w:sz w:val="24"/>
                <w:szCs w:val="24"/>
                <w:u w:val="single"/>
                <w:lang w:eastAsia="zh-CN"/>
              </w:rPr>
              <w:t>90</w:t>
            </w:r>
            <w:r>
              <w:rPr>
                <w:rFonts w:ascii="宋体" w:hAnsi="宋体" w:eastAsia="宋体" w:cs="宋体"/>
                <w:color w:val="auto"/>
                <w:sz w:val="24"/>
                <w:szCs w:val="24"/>
              </w:rPr>
              <w:t>个日历日。</w:t>
            </w:r>
          </w:p>
        </w:tc>
      </w:tr>
      <w:tr w14:paraId="629B0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11AD5E66">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5</w:t>
            </w:r>
          </w:p>
        </w:tc>
        <w:tc>
          <w:tcPr>
            <w:tcW w:w="721" w:type="pct"/>
            <w:vAlign w:val="center"/>
          </w:tcPr>
          <w:p w14:paraId="44DCB490">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12.1</w:t>
            </w:r>
          </w:p>
        </w:tc>
        <w:tc>
          <w:tcPr>
            <w:tcW w:w="3746" w:type="pct"/>
            <w:vAlign w:val="center"/>
          </w:tcPr>
          <w:p w14:paraId="37812D46">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确定中标候选人名单：</w:t>
            </w:r>
          </w:p>
          <w:p w14:paraId="0A748B5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采购包1：</w:t>
            </w:r>
            <w:r>
              <w:rPr>
                <w:rFonts w:ascii="宋体" w:hAnsi="宋体" w:eastAsia="宋体" w:cs="宋体"/>
                <w:color w:val="auto"/>
                <w:sz w:val="24"/>
                <w:szCs w:val="24"/>
                <w:lang w:eastAsia="zh-CN"/>
              </w:rPr>
              <w:t>1</w:t>
            </w:r>
            <w:r>
              <w:rPr>
                <w:rFonts w:ascii="宋体" w:hAnsi="宋体" w:eastAsia="宋体" w:cs="宋体"/>
                <w:color w:val="auto"/>
                <w:sz w:val="24"/>
                <w:szCs w:val="24"/>
              </w:rPr>
              <w:t>名</w:t>
            </w:r>
          </w:p>
        </w:tc>
      </w:tr>
      <w:tr w14:paraId="0D60F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0985B240">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6</w:t>
            </w:r>
          </w:p>
        </w:tc>
        <w:tc>
          <w:tcPr>
            <w:tcW w:w="721" w:type="pct"/>
            <w:vAlign w:val="center"/>
          </w:tcPr>
          <w:p w14:paraId="7802633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12.2</w:t>
            </w:r>
          </w:p>
        </w:tc>
        <w:tc>
          <w:tcPr>
            <w:tcW w:w="3746" w:type="pct"/>
            <w:vAlign w:val="center"/>
          </w:tcPr>
          <w:p w14:paraId="1C6B1A5E">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本项目中标人的确定（以采购包为单位）：</w:t>
            </w:r>
          </w:p>
          <w:p w14:paraId="6EB3BAF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bCs/>
                <w:color w:val="auto"/>
                <w:sz w:val="24"/>
                <w:szCs w:val="24"/>
              </w:rPr>
              <w:t>采购人应在政府采购招投标管理办法规定的时限内确定中标人。</w:t>
            </w:r>
          </w:p>
          <w:p w14:paraId="4CDAF3DD">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（2）若出现中标候选人并列情形，则按照下列方式确定中标人：</w:t>
            </w:r>
          </w:p>
          <w:p w14:paraId="1951EA94">
            <w:pPr>
              <w:pStyle w:val="20"/>
              <w:spacing w:line="360" w:lineRule="exact"/>
              <w:jc w:val="both"/>
              <w:rPr>
                <w:rFonts w:ascii="宋体" w:hAnsi="宋体" w:eastAsia="宋体" w:cs="宋体"/>
                <w:bCs/>
                <w:color w:val="auto"/>
                <w:sz w:val="24"/>
                <w:szCs w:val="24"/>
              </w:rPr>
            </w:pPr>
            <w:r>
              <w:rPr>
                <w:rFonts w:ascii="宋体" w:hAnsi="宋体" w:eastAsia="宋体" w:cs="宋体"/>
                <w:color w:val="auto"/>
                <w:sz w:val="24"/>
                <w:szCs w:val="24"/>
              </w:rPr>
              <w:t>①招标文件规定的方式：</w:t>
            </w:r>
            <w:r>
              <w:rPr>
                <w:rFonts w:ascii="宋体" w:hAnsi="宋体" w:eastAsia="宋体" w:cs="宋体"/>
                <w:bCs/>
                <w:color w:val="auto"/>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7402DC03">
            <w:pPr>
              <w:pStyle w:val="20"/>
              <w:spacing w:line="360" w:lineRule="exact"/>
              <w:jc w:val="both"/>
              <w:rPr>
                <w:rFonts w:ascii="宋体" w:hAnsi="宋体" w:eastAsia="宋体" w:cs="宋体"/>
                <w:bCs/>
                <w:color w:val="auto"/>
                <w:sz w:val="24"/>
                <w:szCs w:val="24"/>
              </w:rPr>
            </w:pPr>
            <w:r>
              <w:rPr>
                <w:rFonts w:ascii="宋体" w:hAnsi="宋体" w:eastAsia="宋体" w:cs="宋体"/>
                <w:color w:val="auto"/>
                <w:sz w:val="24"/>
                <w:szCs w:val="24"/>
              </w:rPr>
              <w:t>②若本款第①点规定方式为“无”，则按照下列方式确定：</w:t>
            </w:r>
            <w:r>
              <w:rPr>
                <w:rFonts w:ascii="宋体" w:hAnsi="宋体" w:eastAsia="宋体" w:cs="宋体"/>
                <w:bCs/>
                <w:color w:val="auto"/>
                <w:sz w:val="24"/>
                <w:szCs w:val="24"/>
              </w:rPr>
              <w:t>随机抽取</w:t>
            </w:r>
          </w:p>
          <w:p w14:paraId="08F34E1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③若本款第①、②点规定方式均为“无”，则按照下列方式确定：随机抽取。</w:t>
            </w:r>
          </w:p>
          <w:p w14:paraId="30C7BD95">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（3）本项目确定的中标人家数：采购包1：1名</w:t>
            </w:r>
          </w:p>
        </w:tc>
      </w:tr>
      <w:tr w14:paraId="6316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trPr>
        <w:tc>
          <w:tcPr>
            <w:tcW w:w="532" w:type="pct"/>
            <w:vAlign w:val="center"/>
          </w:tcPr>
          <w:p w14:paraId="784B16F2">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7</w:t>
            </w:r>
          </w:p>
        </w:tc>
        <w:tc>
          <w:tcPr>
            <w:tcW w:w="721" w:type="pct"/>
            <w:vAlign w:val="center"/>
          </w:tcPr>
          <w:p w14:paraId="0FB68E00">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13.2</w:t>
            </w:r>
          </w:p>
        </w:tc>
        <w:tc>
          <w:tcPr>
            <w:tcW w:w="3746" w:type="pct"/>
            <w:vAlign w:val="center"/>
          </w:tcPr>
          <w:p w14:paraId="2BFE7398">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合同签订时限：自中标通知书发出之日起30个日历日内。</w:t>
            </w:r>
          </w:p>
        </w:tc>
      </w:tr>
      <w:tr w14:paraId="67842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532" w:type="pct"/>
            <w:vAlign w:val="center"/>
          </w:tcPr>
          <w:p w14:paraId="707D943E">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8</w:t>
            </w:r>
          </w:p>
        </w:tc>
        <w:tc>
          <w:tcPr>
            <w:tcW w:w="721" w:type="pct"/>
            <w:vAlign w:val="center"/>
          </w:tcPr>
          <w:p w14:paraId="60D3B34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15.1-（2）</w:t>
            </w:r>
          </w:p>
        </w:tc>
        <w:tc>
          <w:tcPr>
            <w:tcW w:w="3746" w:type="pct"/>
            <w:vAlign w:val="center"/>
          </w:tcPr>
          <w:p w14:paraId="564CE36B">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质疑函原件应采用下列方式提交：书面形式。</w:t>
            </w:r>
          </w:p>
        </w:tc>
      </w:tr>
      <w:tr w14:paraId="492CC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3A4D5108">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9</w:t>
            </w:r>
          </w:p>
        </w:tc>
        <w:tc>
          <w:tcPr>
            <w:tcW w:w="721" w:type="pct"/>
            <w:vAlign w:val="center"/>
          </w:tcPr>
          <w:p w14:paraId="3095127B">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15.4</w:t>
            </w:r>
          </w:p>
        </w:tc>
        <w:tc>
          <w:tcPr>
            <w:tcW w:w="3746" w:type="pct"/>
            <w:vAlign w:val="center"/>
          </w:tcPr>
          <w:p w14:paraId="38A47147">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招标文件的质疑</w:t>
            </w:r>
          </w:p>
          <w:p w14:paraId="3431F9C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（1）潜在投标人可在质疑时效期间内对招标文件以书面形式提出质疑。</w:t>
            </w:r>
          </w:p>
          <w:p w14:paraId="6105EAC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（2）质疑时效期间：应在依法获取招标文件之日起7个工作日内向福建正燊招标代理有限公司提出，依法获取招标文件的时间以福建省政府采购网上公开信息系统记载的为准。</w:t>
            </w:r>
          </w:p>
          <w:p w14:paraId="16C8736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※除上述规定外，对招标文件提出的质疑还应符合招标文件第三章第15.1条的有关规定。</w:t>
            </w:r>
          </w:p>
        </w:tc>
      </w:tr>
      <w:tr w14:paraId="33DCD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42AC6697">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10</w:t>
            </w:r>
          </w:p>
        </w:tc>
        <w:tc>
          <w:tcPr>
            <w:tcW w:w="721" w:type="pct"/>
            <w:vAlign w:val="center"/>
          </w:tcPr>
          <w:p w14:paraId="0C8600AC">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16.1</w:t>
            </w:r>
          </w:p>
        </w:tc>
        <w:tc>
          <w:tcPr>
            <w:tcW w:w="3746" w:type="pct"/>
            <w:vAlign w:val="center"/>
          </w:tcPr>
          <w:p w14:paraId="3A1F7FE1">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监督管理部门：</w:t>
            </w:r>
            <w:r>
              <w:rPr>
                <w:rFonts w:hint="eastAsia" w:ascii="宋体" w:hAnsi="宋体" w:eastAsia="宋体" w:cs="宋体"/>
                <w:color w:val="auto"/>
                <w:sz w:val="24"/>
                <w:szCs w:val="24"/>
              </w:rPr>
              <w:t>福州市财政局</w:t>
            </w:r>
            <w:r>
              <w:rPr>
                <w:rFonts w:ascii="宋体" w:hAnsi="宋体" w:eastAsia="宋体" w:cs="宋体"/>
                <w:color w:val="auto"/>
                <w:sz w:val="24"/>
                <w:szCs w:val="24"/>
              </w:rPr>
              <w:t>（仅限依法进行政府采购的货物或服务类项目）。</w:t>
            </w:r>
          </w:p>
        </w:tc>
      </w:tr>
      <w:tr w14:paraId="72813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023948AE">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11</w:t>
            </w:r>
          </w:p>
        </w:tc>
        <w:tc>
          <w:tcPr>
            <w:tcW w:w="721" w:type="pct"/>
            <w:vAlign w:val="center"/>
          </w:tcPr>
          <w:p w14:paraId="03184030">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18.1</w:t>
            </w:r>
          </w:p>
        </w:tc>
        <w:tc>
          <w:tcPr>
            <w:tcW w:w="3746" w:type="pct"/>
            <w:vAlign w:val="center"/>
          </w:tcPr>
          <w:p w14:paraId="34DC724D">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财政部和福建省财政厅指定的政府采购信息发布媒体（以下简称：“指定媒体”）：</w:t>
            </w:r>
          </w:p>
          <w:p w14:paraId="0BBE966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（1）中国政府采购网，网址www.ccgp.gov.cn。</w:t>
            </w:r>
          </w:p>
          <w:p w14:paraId="6531D6B6">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（2）中国政府采购网福建分网（福建省政府采购网），网址zfcg.czt.fujian.gov.cn。</w:t>
            </w:r>
          </w:p>
          <w:p w14:paraId="17AFED7F">
            <w:pPr>
              <w:pStyle w:val="20"/>
              <w:spacing w:line="360" w:lineRule="exact"/>
              <w:jc w:val="both"/>
              <w:rPr>
                <w:rFonts w:ascii="宋体" w:hAnsi="宋体" w:eastAsia="宋体" w:cs="宋体"/>
                <w:color w:val="auto"/>
                <w:sz w:val="24"/>
                <w:szCs w:val="24"/>
              </w:rPr>
            </w:pPr>
            <w:r>
              <w:rPr>
                <w:rFonts w:ascii="宋体" w:hAnsi="宋体" w:eastAsia="宋体" w:cs="宋体"/>
                <w:b/>
                <w:bCs/>
                <w:color w:val="auto"/>
                <w:sz w:val="24"/>
                <w:szCs w:val="24"/>
              </w:rPr>
              <w:t>※若出现上述指定媒体信息不一致情形，应以中国政府采购网福建分网（福建省政府采购网）发布的为准。</w:t>
            </w:r>
          </w:p>
        </w:tc>
      </w:tr>
      <w:tr w14:paraId="3DDF9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2" w:type="pct"/>
            <w:vAlign w:val="center"/>
          </w:tcPr>
          <w:p w14:paraId="19FFC90F">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12</w:t>
            </w:r>
          </w:p>
        </w:tc>
        <w:tc>
          <w:tcPr>
            <w:tcW w:w="721" w:type="pct"/>
            <w:vAlign w:val="center"/>
          </w:tcPr>
          <w:p w14:paraId="3863147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19</w:t>
            </w:r>
          </w:p>
        </w:tc>
        <w:tc>
          <w:tcPr>
            <w:tcW w:w="3746" w:type="pct"/>
            <w:vAlign w:val="center"/>
          </w:tcPr>
          <w:p w14:paraId="2AA2F2A5">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其他事项：</w:t>
            </w:r>
          </w:p>
          <w:p w14:paraId="5B7C58A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 xml:space="preserve"> (1)本项目代理服务费：</w:t>
            </w:r>
          </w:p>
          <w:p w14:paraId="245DB18B">
            <w:pPr>
              <w:pStyle w:val="20"/>
              <w:spacing w:line="380" w:lineRule="exact"/>
              <w:jc w:val="both"/>
              <w:rPr>
                <w:rFonts w:ascii="宋体" w:hAnsi="宋体" w:eastAsia="宋体" w:cs="宋体"/>
                <w:bCs/>
                <w:color w:val="auto"/>
                <w:sz w:val="24"/>
                <w:szCs w:val="24"/>
              </w:rPr>
            </w:pPr>
            <w:r>
              <w:rPr>
                <w:rFonts w:ascii="宋体" w:hAnsi="宋体" w:eastAsia="宋体" w:cs="宋体"/>
                <w:bCs/>
                <w:color w:val="auto"/>
                <w:sz w:val="24"/>
                <w:szCs w:val="24"/>
              </w:rPr>
              <w:t>本项目收取代理服务费</w:t>
            </w:r>
          </w:p>
          <w:p w14:paraId="7DBD2AD0">
            <w:pPr>
              <w:pStyle w:val="20"/>
              <w:spacing w:line="380" w:lineRule="exact"/>
              <w:jc w:val="both"/>
              <w:rPr>
                <w:rFonts w:ascii="宋体" w:hAnsi="宋体" w:eastAsia="宋体" w:cs="宋体"/>
                <w:bCs/>
                <w:color w:val="auto"/>
                <w:sz w:val="24"/>
                <w:szCs w:val="24"/>
                <w:lang w:eastAsia="zh-CN"/>
              </w:rPr>
            </w:pPr>
            <w:r>
              <w:rPr>
                <w:rFonts w:ascii="宋体" w:hAnsi="宋体" w:eastAsia="宋体" w:cs="宋体"/>
                <w:bCs/>
                <w:color w:val="auto"/>
                <w:sz w:val="24"/>
                <w:szCs w:val="24"/>
              </w:rPr>
              <w:t>代理服务费用收取对象：中标/</w:t>
            </w:r>
            <w:r>
              <w:rPr>
                <w:rFonts w:ascii="宋体" w:hAnsi="宋体" w:eastAsia="宋体" w:cs="宋体"/>
                <w:bCs/>
                <w:color w:val="auto"/>
                <w:sz w:val="24"/>
                <w:szCs w:val="24"/>
                <w:lang w:eastAsia="zh-CN"/>
              </w:rPr>
              <w:t>成交供应商</w:t>
            </w:r>
          </w:p>
          <w:p w14:paraId="58FF6312">
            <w:pPr>
              <w:pStyle w:val="20"/>
              <w:spacing w:line="380" w:lineRule="exact"/>
              <w:jc w:val="both"/>
              <w:rPr>
                <w:rFonts w:ascii="宋体" w:hAnsi="宋体" w:eastAsia="宋体" w:cs="宋体"/>
                <w:bCs/>
                <w:color w:val="auto"/>
                <w:sz w:val="24"/>
                <w:szCs w:val="24"/>
              </w:rPr>
            </w:pPr>
            <w:r>
              <w:rPr>
                <w:rFonts w:ascii="宋体" w:hAnsi="宋体" w:eastAsia="宋体" w:cs="宋体"/>
                <w:bCs/>
                <w:color w:val="auto"/>
                <w:sz w:val="24"/>
                <w:szCs w:val="24"/>
              </w:rPr>
              <w:t>代理服务费收费标准：①本项目代理费用以</w:t>
            </w:r>
            <w:r>
              <w:rPr>
                <w:rFonts w:ascii="宋体" w:hAnsi="宋体" w:eastAsia="宋体" w:cs="宋体"/>
                <w:bCs/>
                <w:color w:val="auto"/>
                <w:sz w:val="24"/>
                <w:szCs w:val="24"/>
                <w:lang w:eastAsia="zh-CN"/>
              </w:rPr>
              <w:t>中标</w:t>
            </w:r>
            <w:r>
              <w:rPr>
                <w:rFonts w:ascii="宋体" w:hAnsi="宋体" w:eastAsia="宋体" w:cs="宋体"/>
                <w:bCs/>
                <w:color w:val="auto"/>
                <w:sz w:val="24"/>
                <w:szCs w:val="24"/>
              </w:rPr>
              <w:t>金额规定作为收费的计算基数，按差额定率累进法计算</w:t>
            </w:r>
            <w:r>
              <w:rPr>
                <w:rFonts w:ascii="宋体" w:hAnsi="宋体" w:eastAsia="宋体" w:cs="宋体"/>
                <w:bCs/>
                <w:color w:val="auto"/>
                <w:sz w:val="24"/>
                <w:szCs w:val="24"/>
                <w:lang w:eastAsia="zh-CN"/>
              </w:rPr>
              <w:t>收取</w:t>
            </w:r>
            <w:r>
              <w:rPr>
                <w:rFonts w:ascii="宋体" w:hAnsi="宋体" w:eastAsia="宋体" w:cs="宋体"/>
                <w:bCs/>
                <w:color w:val="auto"/>
                <w:sz w:val="24"/>
                <w:szCs w:val="24"/>
              </w:rPr>
              <w:t>，标准如下：</w:t>
            </w:r>
            <w:r>
              <w:rPr>
                <w:rFonts w:ascii="宋体" w:hAnsi="宋体" w:cs="宋体"/>
                <w:color w:val="auto"/>
                <w:sz w:val="24"/>
                <w:szCs w:val="24"/>
              </w:rPr>
              <w:t>100(万元)以下收费费率标准: 1.5%；</w:t>
            </w:r>
            <w:r>
              <w:rPr>
                <w:rFonts w:ascii="宋体" w:hAnsi="宋体" w:cs="宋体"/>
                <w:b w:val="0"/>
                <w:bCs w:val="0"/>
                <w:color w:val="auto"/>
                <w:sz w:val="24"/>
                <w:szCs w:val="24"/>
                <w:highlight w:val="none"/>
              </w:rPr>
              <w:t>100-500（万元）收费费率标准：</w:t>
            </w:r>
            <w:r>
              <w:rPr>
                <w:rFonts w:hint="eastAsia" w:ascii="宋体" w:hAnsi="宋体" w:cs="宋体"/>
                <w:b w:val="0"/>
                <w:bCs w:val="0"/>
                <w:color w:val="auto"/>
                <w:sz w:val="24"/>
                <w:szCs w:val="24"/>
                <w:highlight w:val="none"/>
                <w:lang w:val="en-US" w:eastAsia="zh-CN"/>
              </w:rPr>
              <w:t>0.8</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；500－1000(万元)收费费率标准:0.45％；</w:t>
            </w:r>
            <w:r>
              <w:rPr>
                <w:rFonts w:hint="eastAsia" w:ascii="宋体" w:hAnsi="宋体" w:eastAsia="宋体" w:cs="宋体"/>
                <w:color w:val="auto"/>
                <w:sz w:val="24"/>
                <w:szCs w:val="24"/>
              </w:rPr>
              <w:t>1000-5000(万元)收费费率标准:0.25％</w:t>
            </w:r>
            <w:r>
              <w:rPr>
                <w:rFonts w:hint="eastAsia" w:ascii="宋体" w:hAnsi="宋体" w:eastAsia="宋体" w:cs="宋体"/>
                <w:color w:val="auto"/>
                <w:sz w:val="24"/>
                <w:szCs w:val="24"/>
                <w:lang w:eastAsia="zh-CN"/>
              </w:rPr>
              <w:t>。</w:t>
            </w:r>
            <w:r>
              <w:rPr>
                <w:rFonts w:ascii="宋体" w:hAnsi="宋体" w:eastAsia="宋体" w:cs="宋体"/>
                <w:bCs/>
                <w:color w:val="auto"/>
                <w:sz w:val="24"/>
                <w:szCs w:val="24"/>
              </w:rPr>
              <w:t>②中标人以现金、转</w:t>
            </w:r>
            <w:r>
              <w:rPr>
                <w:rFonts w:hint="eastAsia" w:ascii="宋体" w:hAnsi="宋体" w:eastAsia="宋体" w:cs="宋体"/>
                <w:bCs/>
                <w:color w:val="auto"/>
                <w:sz w:val="24"/>
                <w:szCs w:val="24"/>
                <w:lang w:val="en-US" w:eastAsia="zh-CN"/>
              </w:rPr>
              <w:t>账</w:t>
            </w:r>
            <w:r>
              <w:rPr>
                <w:rFonts w:ascii="宋体" w:hAnsi="宋体" w:eastAsia="宋体" w:cs="宋体"/>
                <w:bCs/>
                <w:color w:val="auto"/>
                <w:sz w:val="24"/>
                <w:szCs w:val="24"/>
              </w:rPr>
              <w:t>、电汇等付款方式一次性向招标代理机构缴纳代理服务费，请投标人报价时予以充分考虑。③招标代理服务费缴交账户名：福建正燊招标代理有限公司；开户行：中国银行股份有限公司福州梅峰路支行；账号：406578305018。</w:t>
            </w:r>
          </w:p>
          <w:p w14:paraId="079B4C4D">
            <w:pPr>
              <w:pStyle w:val="20"/>
              <w:spacing w:line="380" w:lineRule="exact"/>
              <w:jc w:val="both"/>
              <w:rPr>
                <w:rFonts w:ascii="宋体" w:hAnsi="宋体" w:eastAsia="宋体" w:cs="宋体"/>
                <w:color w:val="auto"/>
                <w:sz w:val="24"/>
                <w:szCs w:val="24"/>
              </w:rPr>
            </w:pPr>
            <w:r>
              <w:rPr>
                <w:rFonts w:ascii="宋体" w:hAnsi="宋体" w:eastAsia="宋体" w:cs="宋体"/>
                <w:bCs/>
                <w:color w:val="auto"/>
                <w:sz w:val="24"/>
                <w:szCs w:val="24"/>
              </w:rPr>
              <w:t>(2)其他：【与招标文件其它表述存在矛盾的，以下述条款为准】：说明：</w:t>
            </w:r>
            <w:r>
              <w:rPr>
                <w:rFonts w:ascii="宋体" w:hAnsi="宋体" w:eastAsia="宋体" w:cs="宋体"/>
                <w:bCs/>
                <w:color w:val="auto"/>
                <w:sz w:val="24"/>
                <w:szCs w:val="24"/>
                <w:lang w:eastAsia="zh-CN"/>
              </w:rPr>
              <w:t>19.1</w:t>
            </w:r>
            <w:r>
              <w:rPr>
                <w:rFonts w:ascii="宋体" w:hAnsi="宋体" w:eastAsia="宋体" w:cs="宋体"/>
                <w:bCs/>
                <w:color w:val="auto"/>
                <w:sz w:val="24"/>
                <w:szCs w:val="24"/>
              </w:rPr>
              <w:t>开标后，如个别</w:t>
            </w:r>
            <w:r>
              <w:rPr>
                <w:rFonts w:ascii="宋体" w:hAnsi="宋体" w:eastAsia="宋体" w:cs="宋体"/>
                <w:bCs/>
                <w:color w:val="auto"/>
                <w:sz w:val="24"/>
                <w:szCs w:val="24"/>
                <w:lang w:eastAsia="zh-CN"/>
              </w:rPr>
              <w:t>投标人</w:t>
            </w:r>
            <w:r>
              <w:rPr>
                <w:rFonts w:ascii="宋体" w:hAnsi="宋体" w:eastAsia="宋体" w:cs="宋体"/>
                <w:bCs/>
                <w:color w:val="auto"/>
                <w:sz w:val="24"/>
                <w:szCs w:val="24"/>
              </w:rPr>
              <w:t>开标报价明显低于其它合格</w:t>
            </w:r>
            <w:r>
              <w:rPr>
                <w:rFonts w:ascii="宋体" w:hAnsi="宋体" w:eastAsia="宋体" w:cs="宋体"/>
                <w:bCs/>
                <w:color w:val="auto"/>
                <w:sz w:val="24"/>
                <w:szCs w:val="24"/>
                <w:lang w:eastAsia="zh-CN"/>
              </w:rPr>
              <w:t>投标人</w:t>
            </w:r>
            <w:r>
              <w:rPr>
                <w:rFonts w:ascii="宋体" w:hAnsi="宋体" w:eastAsia="宋体" w:cs="宋体"/>
                <w:bCs/>
                <w:color w:val="auto"/>
                <w:sz w:val="24"/>
                <w:szCs w:val="24"/>
              </w:rPr>
              <w:t>报价的，评标时，评委会有可能会对价格合理性进行评估。根据《政府采购货物和服务招标投标管理办法》</w:t>
            </w:r>
            <w:r>
              <w:rPr>
                <w:rFonts w:ascii="宋体" w:hAnsi="宋体" w:eastAsia="宋体" w:cs="宋体"/>
                <w:bCs/>
                <w:color w:val="auto"/>
                <w:sz w:val="24"/>
                <w:szCs w:val="24"/>
                <w:lang w:eastAsia="zh-CN"/>
              </w:rPr>
              <w:t>财政部令第</w:t>
            </w:r>
            <w:r>
              <w:rPr>
                <w:rFonts w:ascii="宋体" w:hAnsi="宋体" w:eastAsia="宋体" w:cs="宋体"/>
                <w:bCs/>
                <w:color w:val="auto"/>
                <w:sz w:val="24"/>
                <w:szCs w:val="24"/>
              </w:rPr>
              <w:t>87号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w:t>
            </w:r>
            <w:r>
              <w:rPr>
                <w:rFonts w:ascii="宋体" w:hAnsi="宋体" w:eastAsia="宋体" w:cs="宋体"/>
                <w:bCs/>
                <w:color w:val="auto"/>
                <w:sz w:val="24"/>
                <w:szCs w:val="24"/>
                <w:lang w:eastAsia="zh-CN"/>
              </w:rPr>
              <w:t>19.2</w:t>
            </w:r>
            <w:r>
              <w:rPr>
                <w:rFonts w:ascii="宋体" w:hAnsi="宋体" w:eastAsia="宋体" w:cs="宋体"/>
                <w:bCs/>
                <w:color w:val="auto"/>
                <w:sz w:val="24"/>
                <w:szCs w:val="24"/>
              </w:rPr>
              <w:t>质疑受理的其它要求：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加盖质疑人单位公章；若本项目接受自然人投标且质疑人为自然人的，质疑函需质疑人本人逐页签名。否则质疑将不予受理。c、在法定质疑期内投标人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e、质疑人应根据招标文件规定以现场方式将书面质疑函提交至福建正燊招标代理有限公司。</w:t>
            </w:r>
            <w:r>
              <w:rPr>
                <w:rFonts w:ascii="宋体" w:hAnsi="宋体" w:eastAsia="宋体" w:cs="宋体"/>
                <w:color w:val="auto"/>
                <w:sz w:val="24"/>
                <w:szCs w:val="24"/>
                <w:lang w:eastAsia="zh-CN"/>
              </w:rPr>
              <w:t>19.3</w:t>
            </w:r>
            <w:r>
              <w:rPr>
                <w:rFonts w:ascii="宋体" w:hAnsi="宋体" w:eastAsia="宋体" w:cs="宋体"/>
                <w:bCs/>
                <w:color w:val="auto"/>
                <w:sz w:val="24"/>
                <w:szCs w:val="24"/>
              </w:rPr>
              <w:t>投标人出现《福建省财政厅关于电子化政府采购项目中视为串标情形认定与处理的指导意见》（闽财购〔2018〕30号）文中规定的视为串标情形的，其投标无效。</w:t>
            </w:r>
          </w:p>
        </w:tc>
      </w:tr>
      <w:tr w14:paraId="111AF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5" w:hRule="atLeast"/>
        </w:trPr>
        <w:tc>
          <w:tcPr>
            <w:tcW w:w="1253" w:type="pct"/>
            <w:gridSpan w:val="2"/>
          </w:tcPr>
          <w:p w14:paraId="56204EA9">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备注</w:t>
            </w:r>
          </w:p>
        </w:tc>
        <w:tc>
          <w:tcPr>
            <w:tcW w:w="3746" w:type="pct"/>
          </w:tcPr>
          <w:p w14:paraId="1253EE5F">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后有投标人须知前附表2，请勿遗漏。</w:t>
            </w:r>
          </w:p>
        </w:tc>
      </w:tr>
    </w:tbl>
    <w:p w14:paraId="711F00E3">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二、投标人须知前附表2</w:t>
      </w:r>
    </w:p>
    <w:tbl>
      <w:tblPr>
        <w:tblStyle w:val="15"/>
        <w:tblW w:w="494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8654"/>
      </w:tblGrid>
      <w:tr w14:paraId="770C2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5000" w:type="pct"/>
            <w:gridSpan w:val="2"/>
            <w:vAlign w:val="center"/>
          </w:tcPr>
          <w:p w14:paraId="0EE6DA61">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关于电子招标投标活动的专门规定</w:t>
            </w:r>
          </w:p>
        </w:tc>
      </w:tr>
      <w:tr w14:paraId="104D0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474" w:type="pct"/>
          </w:tcPr>
          <w:p w14:paraId="4CBD7932">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序号</w:t>
            </w:r>
          </w:p>
        </w:tc>
        <w:tc>
          <w:tcPr>
            <w:tcW w:w="4525" w:type="pct"/>
          </w:tcPr>
          <w:p w14:paraId="07D67E4A">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编列内容</w:t>
            </w:r>
          </w:p>
        </w:tc>
      </w:tr>
      <w:tr w14:paraId="55237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pct"/>
            <w:vAlign w:val="center"/>
          </w:tcPr>
          <w:p w14:paraId="4E4617DC">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1</w:t>
            </w:r>
          </w:p>
        </w:tc>
        <w:tc>
          <w:tcPr>
            <w:tcW w:w="4525" w:type="pct"/>
          </w:tcPr>
          <w:p w14:paraId="63F529A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（1）电子招标投标活动的专门规定适用本项目电子招标投标活动。</w:t>
            </w:r>
          </w:p>
          <w:p w14:paraId="3971B45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（2）将招标文件</w:t>
            </w:r>
            <w:r>
              <w:rPr>
                <w:rFonts w:ascii="宋体" w:hAnsi="宋体" w:eastAsia="宋体" w:cs="宋体"/>
                <w:bCs/>
                <w:color w:val="auto"/>
                <w:sz w:val="24"/>
                <w:szCs w:val="24"/>
                <w:u w:val="single"/>
              </w:rPr>
              <w:t>无</w:t>
            </w:r>
            <w:r>
              <w:rPr>
                <w:rFonts w:ascii="宋体" w:hAnsi="宋体" w:eastAsia="宋体" w:cs="宋体"/>
                <w:color w:val="auto"/>
                <w:sz w:val="24"/>
                <w:szCs w:val="24"/>
              </w:rPr>
              <w:t>的内容修正为下列内容：</w:t>
            </w:r>
            <w:r>
              <w:rPr>
                <w:rFonts w:ascii="宋体" w:hAnsi="宋体" w:eastAsia="宋体" w:cs="宋体"/>
                <w:bCs/>
                <w:color w:val="auto"/>
                <w:sz w:val="24"/>
                <w:szCs w:val="24"/>
                <w:u w:val="single"/>
              </w:rPr>
              <w:t>无</w:t>
            </w:r>
            <w:r>
              <w:rPr>
                <w:rFonts w:ascii="宋体" w:hAnsi="宋体" w:eastAsia="宋体" w:cs="宋体"/>
                <w:color w:val="auto"/>
                <w:sz w:val="24"/>
                <w:szCs w:val="24"/>
              </w:rPr>
              <w:t>后适用本项目的电子招标投标活动。</w:t>
            </w:r>
          </w:p>
          <w:p w14:paraId="2F6E440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245BB11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①电子招标投标活动的具体操作流程以福建省政府采购网上公开信息系统设定的为准。</w:t>
            </w:r>
          </w:p>
          <w:p w14:paraId="44331B86">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②关于电子投标文件：</w:t>
            </w:r>
          </w:p>
          <w:p w14:paraId="0237255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1F3C941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0DE5C0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③关于证明材料或资料：</w:t>
            </w:r>
          </w:p>
          <w:p w14:paraId="27DEEDBD">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3B1243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0F9D240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④关于“全称”、“投标人代表签字”及“加盖单位公章”：</w:t>
            </w:r>
          </w:p>
          <w:p w14:paraId="249DDCEF">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a.在电子投标文件中，涉及“全称”和“投标人代表签字”的内容可使用打字录入方式完成。</w:t>
            </w:r>
          </w:p>
          <w:p w14:paraId="3ADF236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b.在电子投标文件中，涉及“加盖单位公章”的内容应使用投标人的CA证书完成，否则投标无效。</w:t>
            </w:r>
          </w:p>
          <w:p w14:paraId="35F1BFBA">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3EAAD9AA">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⑤关于投标人的CA证书：</w:t>
            </w:r>
          </w:p>
          <w:p w14:paraId="797E1661">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a.投标人的CA证书应在系统规定时间内使用CA证书进行电子投标文件的解密操作，逾期未解密的视为放弃投标。</w:t>
            </w:r>
          </w:p>
          <w:p w14:paraId="29086E6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b.投标人的CA证书可采用信封（包括但不限于：信封、档案袋、文件袋等）作为外包装进行单独包装。外包装密封、不密封皆可。</w:t>
            </w:r>
          </w:p>
          <w:p w14:paraId="26DB58E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c.投标人的CA证书或外包装应标记“项目名称、项目编号、投标人的全称”等内容，以方便识别、使用。</w:t>
            </w:r>
          </w:p>
          <w:p w14:paraId="43424AB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d.投标人的CA证书应能正常、有效使用，否则产生不利后果由投标人承担责任。</w:t>
            </w:r>
          </w:p>
          <w:p w14:paraId="3FCBE15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⑥关于投标截止时间过后</w:t>
            </w:r>
          </w:p>
          <w:p w14:paraId="4341C68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a.未按招标文件规定提交投标保证金的，其投标将按无效投标处理。</w:t>
            </w:r>
          </w:p>
          <w:p w14:paraId="425519C6">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b.有下列情形之一的，其投标无效,其保证金不予退还或通过投标保函进行索赔：</w:t>
            </w:r>
          </w:p>
          <w:p w14:paraId="74E1B8E2">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b1不同投标人的电子投标文件具有相同内部识别码；</w:t>
            </w:r>
          </w:p>
          <w:p w14:paraId="526086BF">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b2不同投标人的投标保证金从同一单位或个人的账户转出；</w:t>
            </w:r>
          </w:p>
          <w:p w14:paraId="7326AEC8">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b3投标人的投标保证金同一采购包下有其他投标人提交的投标保证金；</w:t>
            </w:r>
          </w:p>
          <w:p w14:paraId="3F0429FF">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b4不同投标人存在串通投标的其他情形。</w:t>
            </w:r>
          </w:p>
          <w:p w14:paraId="32CED07A">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1E90845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⑧其他：关于远程开标的规定：①本项目支持远程开标，投标人可通过远程线上参与开标，具体系统操作指南详见福建省政府采购网首页上相关操作手册。②远程开标的每个环节代理机构设定的等待时间均不少于</w:t>
            </w:r>
            <w:r>
              <w:rPr>
                <w:rFonts w:ascii="宋体" w:hAnsi="宋体" w:eastAsia="宋体" w:cs="宋体"/>
                <w:color w:val="auto"/>
                <w:sz w:val="24"/>
                <w:szCs w:val="24"/>
                <w:lang w:eastAsia="zh-CN"/>
              </w:rPr>
              <w:t>10</w:t>
            </w:r>
            <w:r>
              <w:rPr>
                <w:rFonts w:ascii="宋体" w:hAnsi="宋体" w:eastAsia="宋体" w:cs="宋体"/>
                <w:color w:val="auto"/>
                <w:sz w:val="24"/>
                <w:szCs w:val="24"/>
              </w:rPr>
              <w:t>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14:paraId="6AF5EAC2">
      <w:pPr>
        <w:pStyle w:val="20"/>
        <w:jc w:val="center"/>
        <w:outlineLvl w:val="1"/>
        <w:rPr>
          <w:rFonts w:ascii="宋体" w:hAnsi="宋体" w:eastAsia="宋体" w:cs="宋体"/>
          <w:color w:val="auto"/>
        </w:rPr>
      </w:pPr>
      <w:r>
        <w:rPr>
          <w:rFonts w:ascii="宋体" w:hAnsi="宋体" w:eastAsia="宋体" w:cs="宋体"/>
          <w:b/>
          <w:color w:val="auto"/>
          <w:sz w:val="36"/>
        </w:rPr>
        <w:t>第三章 投标人须知</w:t>
      </w:r>
    </w:p>
    <w:p w14:paraId="0C0D6FBD">
      <w:pPr>
        <w:pStyle w:val="20"/>
        <w:spacing w:line="360" w:lineRule="exact"/>
        <w:ind w:firstLine="480"/>
        <w:jc w:val="both"/>
        <w:outlineLvl w:val="2"/>
        <w:rPr>
          <w:rFonts w:ascii="宋体" w:hAnsi="宋体" w:eastAsia="宋体" w:cs="宋体"/>
          <w:color w:val="auto"/>
          <w:sz w:val="24"/>
          <w:szCs w:val="24"/>
        </w:rPr>
      </w:pPr>
      <w:r>
        <w:rPr>
          <w:rFonts w:ascii="宋体" w:hAnsi="宋体" w:eastAsia="宋体" w:cs="宋体"/>
          <w:b/>
          <w:color w:val="auto"/>
          <w:sz w:val="24"/>
          <w:szCs w:val="24"/>
        </w:rPr>
        <w:t>一、总则</w:t>
      </w:r>
    </w:p>
    <w:p w14:paraId="36341FE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1、适用范围</w:t>
      </w:r>
    </w:p>
    <w:p w14:paraId="6044115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1.1适用于招标文件载明项目的政府采购活动（以下简称：“本次采购活动”）。</w:t>
      </w:r>
    </w:p>
    <w:p w14:paraId="58DF097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2、定义</w:t>
      </w:r>
    </w:p>
    <w:p w14:paraId="7171EC2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2.1“采购标的”指招标文件载明的需要采购的货物或服务。</w:t>
      </w:r>
    </w:p>
    <w:p w14:paraId="39F3750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2.2“潜在投标人”指按照招标文件第一章第7条规定获取招标文件且有意向参加本项目投标的供应商。</w:t>
      </w:r>
    </w:p>
    <w:p w14:paraId="472AA83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2.3“投标人”指按照招标文件第一章第7条规定获取招标文件并参加本项目投标的供应商。</w:t>
      </w:r>
    </w:p>
    <w:p w14:paraId="2FB8C36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2.4“单位负责人”指单位法定代表人或法律、法规规定代表单位行使职权的主要负责人。</w:t>
      </w:r>
    </w:p>
    <w:p w14:paraId="4D7DFDE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2.5“投标人代表”指投标人的单位负责人或“单位负责人授权书”中载明的接受授权方。</w:t>
      </w:r>
    </w:p>
    <w:p w14:paraId="4BAA5E2A">
      <w:pPr>
        <w:pStyle w:val="20"/>
        <w:spacing w:line="360" w:lineRule="exact"/>
        <w:ind w:firstLine="480"/>
        <w:jc w:val="both"/>
        <w:outlineLvl w:val="2"/>
        <w:rPr>
          <w:rFonts w:ascii="宋体" w:hAnsi="宋体" w:eastAsia="宋体" w:cs="宋体"/>
          <w:color w:val="auto"/>
          <w:sz w:val="24"/>
          <w:szCs w:val="24"/>
        </w:rPr>
      </w:pPr>
      <w:r>
        <w:rPr>
          <w:rFonts w:ascii="宋体" w:hAnsi="宋体" w:eastAsia="宋体" w:cs="宋体"/>
          <w:b/>
          <w:color w:val="auto"/>
          <w:sz w:val="24"/>
          <w:szCs w:val="24"/>
        </w:rPr>
        <w:t>二、投标人</w:t>
      </w:r>
    </w:p>
    <w:p w14:paraId="40DD445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3、合格投标人</w:t>
      </w:r>
    </w:p>
    <w:p w14:paraId="642225E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3.1一般规定</w:t>
      </w:r>
    </w:p>
    <w:p w14:paraId="207A324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9B0F06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96980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（2）投标人的资格要求：详见招标文件第一章。</w:t>
      </w:r>
    </w:p>
    <w:p w14:paraId="0512276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3.2若本项目接受联合体投标且投标人为联合体，则联合体各方应遵守本章第3.1条规定，同时还应遵守下列规定：</w:t>
      </w:r>
    </w:p>
    <w:p w14:paraId="2BB6B9F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（1）联合体各方应提交联合体协议，联合体协议应符合招标文件规定。</w:t>
      </w:r>
    </w:p>
    <w:p w14:paraId="062A1AA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（2）联合体各方不得再单独参加或与其他供应商另外组成联合体参加同一合同项下的投标。</w:t>
      </w:r>
    </w:p>
    <w:p w14:paraId="5017442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（3）联合体各方应共同与采购人签订政府采购合同，就政府采购合同约定的事项对采购人承担连带责任。</w:t>
      </w:r>
    </w:p>
    <w:p w14:paraId="473B512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5DA4F2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（5）联合体一方放弃中标的，视为联合体整体放弃中标，联合体各方承担连带责任。</w:t>
      </w:r>
    </w:p>
    <w:p w14:paraId="3FEA62F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101126E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4、投标费用</w:t>
      </w:r>
    </w:p>
    <w:p w14:paraId="1B1FC7D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4.1除招标文件另有规定外，投标人应自行承担其参加本项目投标所涉及的一切费用。</w:t>
      </w:r>
    </w:p>
    <w:p w14:paraId="0131B61B">
      <w:pPr>
        <w:pStyle w:val="20"/>
        <w:spacing w:line="360" w:lineRule="exact"/>
        <w:ind w:firstLine="480"/>
        <w:jc w:val="both"/>
        <w:outlineLvl w:val="2"/>
        <w:rPr>
          <w:rFonts w:ascii="宋体" w:hAnsi="宋体" w:eastAsia="宋体" w:cs="宋体"/>
          <w:color w:val="auto"/>
          <w:sz w:val="24"/>
          <w:szCs w:val="24"/>
        </w:rPr>
      </w:pPr>
      <w:r>
        <w:rPr>
          <w:rFonts w:ascii="宋体" w:hAnsi="宋体" w:eastAsia="宋体" w:cs="宋体"/>
          <w:b/>
          <w:color w:val="auto"/>
          <w:sz w:val="24"/>
          <w:szCs w:val="24"/>
        </w:rPr>
        <w:t>三、招标</w:t>
      </w:r>
    </w:p>
    <w:p w14:paraId="6834B81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5、招标文件</w:t>
      </w:r>
    </w:p>
    <w:p w14:paraId="07F45C0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5.1招标文件由下述部分组成：</w:t>
      </w:r>
    </w:p>
    <w:p w14:paraId="12344A0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（1）投标邀请</w:t>
      </w:r>
    </w:p>
    <w:p w14:paraId="314D9E0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（2）投标人须知前附表（表1、2）</w:t>
      </w:r>
    </w:p>
    <w:p w14:paraId="7DBE7FE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（3）投标人须知</w:t>
      </w:r>
    </w:p>
    <w:p w14:paraId="7F88720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（4）资格审查与评标</w:t>
      </w:r>
    </w:p>
    <w:p w14:paraId="610DB05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（5）招标内容及要求</w:t>
      </w:r>
    </w:p>
    <w:p w14:paraId="2BEA725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（6）政府采购合同（参考文本）</w:t>
      </w:r>
    </w:p>
    <w:p w14:paraId="7965537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（7）电子投标文件格式</w:t>
      </w:r>
    </w:p>
    <w:p w14:paraId="15AB4CB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（8）按照招标文件规定作为招标文件组成部分的其他内容（若有）</w:t>
      </w:r>
    </w:p>
    <w:p w14:paraId="271A90C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5.2招标文件的澄清或修改</w:t>
      </w:r>
    </w:p>
    <w:p w14:paraId="654C813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 福建正燊招标代理有限公司 可对已发出的招标文件进行必要的澄清或修改，但不得对招标文件载明的采购标的和投标人的资格要求进行改变。</w:t>
      </w:r>
    </w:p>
    <w:p w14:paraId="1468FE9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（2）除本章第5.2条第（3）款规定情形外，澄清或修改的内容可能影响电子投标文件编制的， 福建正燊招标代理有限公司 将在投标截止时间至少15个日历日前，在招标文件载明的指定媒体以更正公告的形式发布澄清或修改的内容。不足15个日历日的， 福建正燊招标代理有限公司 将顺延投标截止时间及开标时间， 福建正燊招标代理有限公司 和投标人受原投标截止时间及开标时间制约的所有权利和义务均延长至新的投标截止时间及开标时间。</w:t>
      </w:r>
    </w:p>
    <w:p w14:paraId="775C1C9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（3）澄清或修改的内容可能改变招标文件载明的采购标的和投标人的资格要求的，本次采购活动结束，福建正燊招标代理有限公司将依法组织后续采购活动（包括但不限于：重新招标、采用其他方式采购等）。</w:t>
      </w:r>
    </w:p>
    <w:p w14:paraId="7535947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6、现场考察或开标前答疑会</w:t>
      </w:r>
    </w:p>
    <w:p w14:paraId="792EDD1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6.1是否组织现场考察或召开开标前答疑会：详见招标文件第二章。</w:t>
      </w:r>
    </w:p>
    <w:p w14:paraId="23B72E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7、更正公告</w:t>
      </w:r>
    </w:p>
    <w:p w14:paraId="56CEE01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7.1若 福建正燊招标代理有限公司 发布更正公告，则更正公告及其所发布的内容或信息（包括但不限于：招标文件的澄清或修改、现场考察或答疑会的有关事宜等）作为招标文件组成部分，对投标人具有约束力。</w:t>
      </w:r>
    </w:p>
    <w:p w14:paraId="09E61FA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7.2更正公告作为 福建正燊招标代理有限公司 通知所有潜在投标人的书面形式。</w:t>
      </w:r>
    </w:p>
    <w:p w14:paraId="5FF6FA0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8、终止公告</w:t>
      </w:r>
    </w:p>
    <w:p w14:paraId="5DDDEA6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8.1若出现因重大变故导致采购任务取消情形， 福建正燊招标代理有限公司 可终止招标并发布终止公告。</w:t>
      </w:r>
    </w:p>
    <w:p w14:paraId="5ED8BC3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8.2终止公告作为 福建正燊招标代理有限公司 通知所有潜在投标人的书面形式。</w:t>
      </w:r>
    </w:p>
    <w:p w14:paraId="0DD3AC8A">
      <w:pPr>
        <w:pStyle w:val="20"/>
        <w:spacing w:line="360" w:lineRule="exact"/>
        <w:ind w:firstLine="480"/>
        <w:jc w:val="both"/>
        <w:outlineLvl w:val="2"/>
        <w:rPr>
          <w:rFonts w:ascii="宋体" w:hAnsi="宋体" w:eastAsia="宋体" w:cs="宋体"/>
          <w:color w:val="auto"/>
          <w:sz w:val="24"/>
          <w:szCs w:val="24"/>
        </w:rPr>
      </w:pPr>
      <w:r>
        <w:rPr>
          <w:rFonts w:ascii="宋体" w:hAnsi="宋体" w:eastAsia="宋体" w:cs="宋体"/>
          <w:b/>
          <w:color w:val="auto"/>
          <w:sz w:val="24"/>
          <w:szCs w:val="24"/>
        </w:rPr>
        <w:t>四、投标</w:t>
      </w:r>
    </w:p>
    <w:p w14:paraId="0BB8174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9、投标</w:t>
      </w:r>
    </w:p>
    <w:p w14:paraId="093B062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9.1投标人可对招标文件载明的全部或部分采购包进行投标。</w:t>
      </w:r>
    </w:p>
    <w:p w14:paraId="676E0CE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9.2投标人应对同一个采购包内的所有内容进行完整投标，否则投标无效。</w:t>
      </w:r>
    </w:p>
    <w:p w14:paraId="3F90597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9.3投标人代表只能接受一个投标人的授权参加投标，否则投标无效。</w:t>
      </w:r>
    </w:p>
    <w:p w14:paraId="0ED7DF5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9.4单位负责人为同一人或存在直接控股、管理关系的不同供应商，不得同时参加同一合同项下的投标，否则投标无效。</w:t>
      </w:r>
    </w:p>
    <w:p w14:paraId="5AA8ABE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D7A280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75335CD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9.7有下列情形之一的，视为投标人串通投标，其投标无效：</w:t>
      </w:r>
    </w:p>
    <w:p w14:paraId="50C2A99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（1）不同投标人的电子投标文件由同一单位或个人编制；</w:t>
      </w:r>
    </w:p>
    <w:p w14:paraId="58995D0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（2）不同投标人委托同一单位或个人办理投标事宜；</w:t>
      </w:r>
    </w:p>
    <w:p w14:paraId="2E60BD2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（3）不同投标人的电子投标文件载明的项目管理成员或联系人员为同一人；</w:t>
      </w:r>
    </w:p>
    <w:p w14:paraId="72BCD30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（4）不同投标人的电子投标文件异常一致或投标报价呈规律性差异；</w:t>
      </w:r>
    </w:p>
    <w:p w14:paraId="110C580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（5）不同投标人的电子投标文件相互混装；</w:t>
      </w:r>
    </w:p>
    <w:p w14:paraId="10F2F30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（6）不同投标人的投标保证金从同一单位或个人的账户转出；</w:t>
      </w:r>
    </w:p>
    <w:p w14:paraId="3D27112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（7）有关法律、法规和规章及招标文件规定的其他串通投标情形。</w:t>
      </w:r>
    </w:p>
    <w:p w14:paraId="7FFDADE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10、电子投标文件</w:t>
      </w:r>
    </w:p>
    <w:p w14:paraId="5A45305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10.1电子投标文件的编制</w:t>
      </w:r>
    </w:p>
    <w:p w14:paraId="6350A1D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（1）投标人应先仔细阅读招标文件的全部内容后，再进行电子投标文件的编制。</w:t>
      </w:r>
    </w:p>
    <w:p w14:paraId="2367D4C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（2）电子投标文件应按照本章第10.2条规定编制其组成部分。</w:t>
      </w:r>
    </w:p>
    <w:p w14:paraId="1201CFA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81E29C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10.2电子投标文件由下述部分组成：</w:t>
      </w:r>
    </w:p>
    <w:p w14:paraId="7663657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（1）资格及资信证明部分</w:t>
      </w:r>
    </w:p>
    <w:p w14:paraId="2206196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①投标函</w:t>
      </w:r>
    </w:p>
    <w:p w14:paraId="37C34E7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②投标人的资格及资信证明文件</w:t>
      </w:r>
    </w:p>
    <w:p w14:paraId="04C8FD5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③投标保证金</w:t>
      </w:r>
    </w:p>
    <w:p w14:paraId="48D4114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（2）报价部分</w:t>
      </w:r>
    </w:p>
    <w:p w14:paraId="7618EEC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①开标（报价）一览表</w:t>
      </w:r>
    </w:p>
    <w:p w14:paraId="4498EB4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②投标（响应）报价明细表</w:t>
      </w:r>
    </w:p>
    <w:p w14:paraId="04B95D3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③招标文件规定的价格扣除证明材料（若有）</w:t>
      </w:r>
    </w:p>
    <w:p w14:paraId="6A02A60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④招标文件规定的加分证明材料（若有）</w:t>
      </w:r>
    </w:p>
    <w:p w14:paraId="16D9FE5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（3）技术商务部分</w:t>
      </w:r>
    </w:p>
    <w:p w14:paraId="1023108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①标的说明一览表</w:t>
      </w:r>
    </w:p>
    <w:p w14:paraId="2224721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②技术和服务要求响应表</w:t>
      </w:r>
    </w:p>
    <w:p w14:paraId="251AA27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③商务条件响应表</w:t>
      </w:r>
    </w:p>
    <w:p w14:paraId="45CE11D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④投标人提交的其他资料（若有）</w:t>
      </w:r>
    </w:p>
    <w:p w14:paraId="7BC1317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⑤招标文件规定作为电子投标文件组成部分的其他内容（若有）</w:t>
      </w:r>
    </w:p>
    <w:p w14:paraId="563963B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10.3电子投标文件的语言</w:t>
      </w:r>
    </w:p>
    <w:p w14:paraId="7A45923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（1）除招标文件另有规定外，电子投标文件应使用中文文本，若有不同文本，以中文文本为准。</w:t>
      </w:r>
    </w:p>
    <w:p w14:paraId="47230C8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0D21F5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10.4投标文件的份数：详见招标文件第二章。</w:t>
      </w:r>
    </w:p>
    <w:p w14:paraId="4B03D62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10.5电子投标文件的格式</w:t>
      </w:r>
    </w:p>
    <w:p w14:paraId="2387E92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（1）除招标文件另有规定外，电子投标文件应使用招标文件第七章规定的格式。</w:t>
      </w:r>
    </w:p>
    <w:p w14:paraId="43E3A7E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（2）除招标文件另有规定外，电子投标文件应使用不能擦去的墨料或墨水打印、书写或复印。</w:t>
      </w:r>
    </w:p>
    <w:p w14:paraId="6A83272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（3）除招标文件另有规定外，电子投标文件应使用人民币作为计量货币。</w:t>
      </w:r>
    </w:p>
    <w:p w14:paraId="1E69C78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（4）除招标文件另有规定外，签署、盖章应遵守下列规定：</w:t>
      </w:r>
    </w:p>
    <w:p w14:paraId="3655295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①电子投标文件应加盖投标人的单位公章。若投标人代表为单位授权的委托代理人，应提供“单位授权书”。</w:t>
      </w:r>
    </w:p>
    <w:p w14:paraId="3E87162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②电子投标文件应没有涂改或行间插字，除非这些改动是根据 福建正燊招标代理有限公司 的指示进行的，或是为改正投标人造成的应修改的错误而进行的。若有前述改动，应按照下列规定之一对改动处进行处理：</w:t>
      </w:r>
    </w:p>
    <w:p w14:paraId="5291703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a.投标人代表签字确认；</w:t>
      </w:r>
    </w:p>
    <w:p w14:paraId="081C92A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b.加盖投标人的单位公章或校正章。</w:t>
      </w:r>
    </w:p>
    <w:p w14:paraId="4DB4088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10.6投标报价</w:t>
      </w:r>
    </w:p>
    <w:p w14:paraId="2A58FF9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（1）投标报价超出最高限价将导致投标无效。</w:t>
      </w:r>
    </w:p>
    <w:p w14:paraId="460FAAA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（2）最高限价由采购人根据价格测算情况，在预算金额的额度内合理设定。最高限价不得超出预算金额。</w:t>
      </w:r>
    </w:p>
    <w:p w14:paraId="5AAA575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5A4D044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10.7分包</w:t>
      </w:r>
    </w:p>
    <w:p w14:paraId="2242C39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（1）是否允许中标人将本项目的非主体、非关键性工作进行分包：详见招标文件第二章。</w:t>
      </w:r>
    </w:p>
    <w:p w14:paraId="37F12BE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414830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（3）招标文件允许中标人将非主体、非关键性工作进行分包的项目，有下列情形之一的，中标人不得分包：</w:t>
      </w:r>
    </w:p>
    <w:p w14:paraId="55830E2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①电子投标文件中未载明分包承担主体；</w:t>
      </w:r>
    </w:p>
    <w:p w14:paraId="2897A28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②电子投标文件载明的分包承担主体不具备相应资质条件；</w:t>
      </w:r>
    </w:p>
    <w:p w14:paraId="57C290C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③电子投标文件载明的分包承担主体拟再次分包；</w:t>
      </w:r>
    </w:p>
    <w:p w14:paraId="03BE9F6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2A38DE5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10.8投标有效期</w:t>
      </w:r>
    </w:p>
    <w:p w14:paraId="51F8693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（1）招标文件载明的投标有效期：详见招标文件第二章。</w:t>
      </w:r>
    </w:p>
    <w:p w14:paraId="2E3A414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（2）电子投标文件承诺的投标有效期不得少于招标文件载明的投标有效期，否则投标无效。</w:t>
      </w:r>
    </w:p>
    <w:p w14:paraId="4350C75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（3）根据本次采购活动的需要， 福建正燊招标代理有限公司 可于投标有效期届满之前书面要求投标人延长投标有效期，投标人应在 福建正燊招标代理有限公司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D34DDA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10.9投标保证金</w:t>
      </w:r>
    </w:p>
    <w:p w14:paraId="618AEF1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（1）投标保证金作为投标人按照招标文件规定履行相应投标责任、义务的约束及担保。</w:t>
      </w:r>
    </w:p>
    <w:p w14:paraId="533BDFF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（2）投标人以电子保函形式提交投标保证金的，保函的有效期应等于或长于电子投标文件承诺的投标有效期，否则投标无效。</w:t>
      </w:r>
    </w:p>
    <w:p w14:paraId="143B982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（3）提交</w:t>
      </w:r>
    </w:p>
    <w:p w14:paraId="49E97E2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05336C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AC87528">
      <w:pPr>
        <w:pStyle w:val="20"/>
        <w:spacing w:line="360" w:lineRule="exact"/>
        <w:ind w:firstLine="480"/>
        <w:rPr>
          <w:rFonts w:ascii="宋体" w:hAnsi="宋体" w:eastAsia="宋体" w:cs="宋体"/>
          <w:color w:val="auto"/>
          <w:sz w:val="24"/>
          <w:szCs w:val="24"/>
          <w:lang w:eastAsia="zh-CN"/>
        </w:rPr>
      </w:pPr>
      <w:r>
        <w:rPr>
          <w:rFonts w:ascii="宋体" w:hAnsi="宋体" w:eastAsia="宋体" w:cs="宋体"/>
          <w:color w:val="auto"/>
          <w:sz w:val="24"/>
          <w:szCs w:val="24"/>
        </w:rPr>
        <w:t>③其他形式：</w:t>
      </w:r>
      <w:r>
        <w:rPr>
          <w:rFonts w:ascii="宋体" w:hAnsi="宋体" w:eastAsia="宋体" w:cs="宋体"/>
          <w:color w:val="auto"/>
          <w:sz w:val="24"/>
          <w:szCs w:val="24"/>
          <w:lang w:eastAsia="zh-CN"/>
        </w:rPr>
        <w:t>无</w:t>
      </w:r>
    </w:p>
    <w:p w14:paraId="2E30E00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7E85FFD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※除招标文件另有规定外，未按照上述规定提交投标保证金将导致资格审查不合格。</w:t>
      </w:r>
    </w:p>
    <w:p w14:paraId="2857298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（4）退还</w:t>
      </w:r>
    </w:p>
    <w:p w14:paraId="4F290D6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①在投标截止时间前撤回已提交的电子投标文件的投标人，其投标保证金将在 福建正燊招标代理有限公司 收到投标人书面撤回通知之日起5个工作日内退回原账户。</w:t>
      </w:r>
    </w:p>
    <w:p w14:paraId="52842E2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②未中标人的投标保证金将在中标通知书发出之日起5个工作日内退回原账户。</w:t>
      </w:r>
    </w:p>
    <w:p w14:paraId="3C03CFF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32F3F85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④终止招标的， 福建正燊招标代理有限公司 将在终止公告发布之日起5个工作日内退回已收取的投标保证金及其在银行产生的孳息。</w:t>
      </w:r>
    </w:p>
    <w:p w14:paraId="3304BED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⑤除招标文件另有规定外，质疑或投诉涉及的投标人，若投标保证金尚未退还，则待质疑或投诉处理完毕后不计利息原额退还。</w:t>
      </w:r>
    </w:p>
    <w:p w14:paraId="3C41D22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※本章第10.9条第（4）款第①、②、③点规定的投标保证金退还时限不包括因投标人自身原因导致无法及时退还而增加的时间。</w:t>
      </w:r>
    </w:p>
    <w:p w14:paraId="1161058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83C80C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（6）有下列情形之一的，投标保证金将不予退还或通过投标保函进行索赔：</w:t>
      </w:r>
    </w:p>
    <w:p w14:paraId="14F571E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①投标人串通投标；</w:t>
      </w:r>
    </w:p>
    <w:p w14:paraId="4998032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②投标人提供虚假材料；</w:t>
      </w:r>
    </w:p>
    <w:p w14:paraId="5665370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③投标人采取不正当手段诋毁、排挤其他投标人；</w:t>
      </w:r>
    </w:p>
    <w:p w14:paraId="460B774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④投标截止时间后，投标人在投标有效期内撤销电子投标文件；</w:t>
      </w:r>
    </w:p>
    <w:p w14:paraId="29E900D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⑤招标文件规定的其他不予退还情形；</w:t>
      </w:r>
    </w:p>
    <w:p w14:paraId="37C9A1E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⑥中标人有下列情形之一的：</w:t>
      </w:r>
    </w:p>
    <w:p w14:paraId="25A92E3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a.除不可抗力外，因中标人自身原因未在中标通知书要求的期限内与采购人签订政府采购合同；</w:t>
      </w:r>
    </w:p>
    <w:p w14:paraId="5E7DF33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b.未按照招标文件、投标文件的约定签订政府采购合同或提交履约保证金。</w:t>
      </w:r>
    </w:p>
    <w:p w14:paraId="4EDF9D1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※若上述投标保证金不予退还情形给采购人（采购代理机构）造成损失，则投标人还要承担相应的赔偿责任。</w:t>
      </w:r>
    </w:p>
    <w:p w14:paraId="3D37A8E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10.10电子投标文件的提交</w:t>
      </w:r>
    </w:p>
    <w:p w14:paraId="5D2C413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（1）一个投标人只能提交一个电子投标文件，并按照招标文件第一章规定在系统上完成上传、解密操作。</w:t>
      </w:r>
    </w:p>
    <w:p w14:paraId="02DB9A0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10.11电子投标文件的补充、修改或撤回</w:t>
      </w:r>
    </w:p>
    <w:p w14:paraId="61698ED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（1）投标截止时间前，投标人可对所提交的电子投标文件进行补充、修改或撤回，并书面通知 福建正燊招标代理有限公司 。</w:t>
      </w:r>
    </w:p>
    <w:p w14:paraId="3F5B3FC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（2）补充、修改的内容应按照本章第10.5条第（4）款规定进行签署、盖章，并按照本章第10.10条规定提交，否则将被拒收。</w:t>
      </w:r>
    </w:p>
    <w:p w14:paraId="0898ABD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※按照上述规定提交的补充、修改内容作为电子投标文件组成部分。</w:t>
      </w:r>
    </w:p>
    <w:p w14:paraId="58DC0ED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10.12除招标文件另有规定外，有下列情形之一的，投标无效：</w:t>
      </w:r>
    </w:p>
    <w:p w14:paraId="7E51E1A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（1）电子投标文件未按照招标文件要求签署、盖章；</w:t>
      </w:r>
    </w:p>
    <w:p w14:paraId="144F18A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（2）不符合招标文件中规定的资格要求；</w:t>
      </w:r>
    </w:p>
    <w:p w14:paraId="64978A0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（3）投标报价超过招标文件中规定的预算金额或最高限价；</w:t>
      </w:r>
    </w:p>
    <w:p w14:paraId="2EA45BF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（4）电子投标文件含有采购人不能接受的附加条件；</w:t>
      </w:r>
    </w:p>
    <w:p w14:paraId="3172E5D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（5）有关法律、法规和规章及招标文件规定的其他无效情形。</w:t>
      </w:r>
    </w:p>
    <w:p w14:paraId="129B9A3F">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五、开标</w:t>
      </w:r>
    </w:p>
    <w:p w14:paraId="5347321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11、开标</w:t>
      </w:r>
    </w:p>
    <w:p w14:paraId="38DF0AD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11.1 福建正燊招标代理有限公司 将在招标文件载明的开标时间及地点主持召开开标会，并邀请投标人参加。</w:t>
      </w:r>
    </w:p>
    <w:p w14:paraId="70ED1B5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11.2开标会的主持人、唱标人、记录人及其他工作人员（若有）均由 福建正燊招标代理有限公司 派出，现场监督人员（若有）可由有关方面派出。</w:t>
      </w:r>
    </w:p>
    <w:p w14:paraId="0202B00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3431B2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11.4开标会应遵守下列规定：</w:t>
      </w:r>
    </w:p>
    <w:p w14:paraId="36DEE45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18A5B8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C62B34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528461E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034FC2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（5）若投标人未到开标现场参加开标会，也未通过远程参加开标会的，视同认可开标结果。</w:t>
      </w:r>
    </w:p>
    <w:p w14:paraId="51AEC0B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福建正燊招标代理有限公司 提出任何疑义或要求（包括质疑）。</w:t>
      </w:r>
    </w:p>
    <w:p w14:paraId="2BBD3F2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11.5投标截止时间后，参加投标的投标人不足三家的，不进行开标。同时，本次采购活动结束， 福建正燊招标代理有限公司 将依法组织后续采购活动（包括但不限于：重新招标、采用其他方式采购等）。</w:t>
      </w:r>
    </w:p>
    <w:p w14:paraId="51737B9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11.6投标截止时间后撤销投标的处理</w:t>
      </w:r>
    </w:p>
    <w:p w14:paraId="5C4FE8C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投标截止时间后，投标人在投标有效期内撤销投标的，其撤销投标的行为无效。</w:t>
      </w:r>
    </w:p>
    <w:p w14:paraId="7B19B973">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六、中标与政府采购合同</w:t>
      </w:r>
    </w:p>
    <w:p w14:paraId="632740C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12、中标</w:t>
      </w:r>
    </w:p>
    <w:p w14:paraId="5DBE79F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12.1本项目推荐的中标候选人家数：详见招标文件第二章。</w:t>
      </w:r>
    </w:p>
    <w:p w14:paraId="07DDB38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12.2本项目中标人的确定：详见招标文件第二章。</w:t>
      </w:r>
    </w:p>
    <w:p w14:paraId="7048B6A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12.3中标公告</w:t>
      </w:r>
    </w:p>
    <w:p w14:paraId="57AC6CB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（1）中标人确定之日起2个工作日内， 福建正燊招标代理有限公司 将在招标文件载明的指定媒体以中标公告的形式发布中标结果。</w:t>
      </w:r>
    </w:p>
    <w:p w14:paraId="0E0CCB2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（2）中标公告的公告期限为1个工作日。</w:t>
      </w:r>
    </w:p>
    <w:p w14:paraId="5F3B8A1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12.4中标通知书</w:t>
      </w:r>
    </w:p>
    <w:p w14:paraId="628CE43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（1）中标公告发布的同时， 福建正燊招标代理有限公司 将向中标人发出中标通知书。</w:t>
      </w:r>
    </w:p>
    <w:p w14:paraId="78215D4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（2）中标通知书发出后，采购人不得违法改变中标结果，中标人无正当理由不得放弃中标。</w:t>
      </w:r>
    </w:p>
    <w:p w14:paraId="6286EA5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13、政府采购合同</w:t>
      </w:r>
    </w:p>
    <w:p w14:paraId="48DB911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821351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13.2签订时限：详见须知前附表1的13.2。</w:t>
      </w:r>
    </w:p>
    <w:p w14:paraId="154A47C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13.3政府采购合同的履行、违约责任和解决争议的方法等适用民法典。</w:t>
      </w:r>
    </w:p>
    <w:p w14:paraId="6A20A48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13.4采购人与中标人应根据政府采购合同的约定依法履行合同义务。</w:t>
      </w:r>
    </w:p>
    <w:p w14:paraId="03A7DE1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13.5政府采购合同履行过程中，采购人若需追加与合同标的相同的货物或服务，则追加采购金额不得超过原合同采购金额的10%。</w:t>
      </w:r>
    </w:p>
    <w:p w14:paraId="272E6C3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4F22C96F">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七、询问、质疑与投诉</w:t>
      </w:r>
    </w:p>
    <w:p w14:paraId="54463B1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14、询问</w:t>
      </w:r>
    </w:p>
    <w:p w14:paraId="0ABC973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14.1潜在投标人或投标人对本次采购活动的有关事项若有疑问，可向 福建正燊招标代理有限公司 提出询问， 福建正燊招标代理有限公司 将按照政府采购法及实施条例的有关规定进行答复。</w:t>
      </w:r>
    </w:p>
    <w:p w14:paraId="7E1210C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15、质疑</w:t>
      </w:r>
    </w:p>
    <w:p w14:paraId="4A5A887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29725D8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79DF7AF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（2）质疑人应按照招标文件第二章规定方式提交质疑函。</w:t>
      </w:r>
    </w:p>
    <w:p w14:paraId="154526E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（3）质疑函应包括下列主要内容：</w:t>
      </w:r>
    </w:p>
    <w:p w14:paraId="13A3BF1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①质疑人的基本信息，至少包括：全称、地址、邮政编码等；</w:t>
      </w:r>
    </w:p>
    <w:p w14:paraId="341E6DF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②所质疑项目的基本信息，至少包括：项目编号、项目名称等；</w:t>
      </w:r>
    </w:p>
    <w:p w14:paraId="4B4B6F5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③所质疑的具体事项（以下简称：“质疑事项”）；</w:t>
      </w:r>
    </w:p>
    <w:p w14:paraId="3B7C488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④针对质疑事项提出的明确请求，前述明确请求指质疑人提出质疑的目的以及希望 福建正燊招标代理有限公司 对其质疑作出的处理结果，如：暂停招标投标活动、修改招标文件、停止或纠正违法违规行为、中标结果无效、废标、重新招标等；</w:t>
      </w:r>
    </w:p>
    <w:p w14:paraId="6D21C70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⑤针对质疑事项导致质疑人自身权益受到损害的必要证明材料，至少包括：</w:t>
      </w:r>
    </w:p>
    <w:p w14:paraId="7021671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a.质疑人代表的身份证明材料：</w:t>
      </w:r>
    </w:p>
    <w:p w14:paraId="1264E7F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EC7D19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a2若本项目接受自然人投标且质疑人为自然人的，提供本人的身份证复印件。</w:t>
      </w:r>
    </w:p>
    <w:p w14:paraId="33C42F5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b.其他证明材料（即事实依据和必要的法律依据）包括但不限于下列材料：</w:t>
      </w:r>
    </w:p>
    <w:p w14:paraId="0EB0D74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b1所质疑的具体事项是与自己有利害关系的证明材料；</w:t>
      </w:r>
    </w:p>
    <w:p w14:paraId="35E9B72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b2质疑函所述事实存在的证明材料，如：采购文件、采购过程或中标结果违法违规或不符合采购文件要求等证明材料；</w:t>
      </w:r>
    </w:p>
    <w:p w14:paraId="2EF4781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b3依法应终止采购程序的证明材料；</w:t>
      </w:r>
    </w:p>
    <w:p w14:paraId="72A5B0C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b4应重新采购的证明材料；</w:t>
      </w:r>
    </w:p>
    <w:p w14:paraId="21682E8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b5采购文件、采购过程或中标、成交结果损害自己合法权益的证明材料等；</w:t>
      </w:r>
    </w:p>
    <w:p w14:paraId="54DBE17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F67136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⑥质疑人代表及其联系方法的信息，至少包括：姓名、手机、电子信箱、邮寄地址等。</w:t>
      </w:r>
    </w:p>
    <w:p w14:paraId="70BF1E8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⑦提出质疑的日期。</w:t>
      </w:r>
    </w:p>
    <w:p w14:paraId="4B3880E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6AFAA47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15.2对不符合本章第15.1条规定的质疑，将按照下列规定进行处理：</w:t>
      </w:r>
    </w:p>
    <w:p w14:paraId="72211FF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（1）不符合其中第（1）、（2）条规定的，书面告知质疑人不予受理及其理由。</w:t>
      </w:r>
    </w:p>
    <w:p w14:paraId="30E430B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（2）不符合其中第（3）条规定的，书面告知质疑人修改、补充后在规定时限内重新提交质疑函。</w:t>
      </w:r>
    </w:p>
    <w:p w14:paraId="6D6D181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15.3对符合本章第15.1条规定的质疑，将按照政府采购法及实施条例、政府采购质疑和投诉办法的有关规定进行答复。</w:t>
      </w:r>
    </w:p>
    <w:p w14:paraId="3B70769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15.4招标文件的质疑：详见招标文件第二章。</w:t>
      </w:r>
    </w:p>
    <w:p w14:paraId="1AA1292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16、投诉</w:t>
      </w:r>
    </w:p>
    <w:p w14:paraId="5B167C4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EA794B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16.2投诉应有明确的请求和必要的证明材料，投诉的事项不得超出已质疑事项的范围。</w:t>
      </w:r>
    </w:p>
    <w:p w14:paraId="047776B2">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八、政府采购政策</w:t>
      </w:r>
    </w:p>
    <w:p w14:paraId="26FE7BD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17、政府采购政策由财政部根据国家的经济和社会发展政策并会同国家有关部委制定，包括但不限于下列具体政策要求：</w:t>
      </w:r>
    </w:p>
    <w:p w14:paraId="44648A6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17.1进口产品指通过中国海关报关验放进入中国境内且产自关境外的产品，其中：</w:t>
      </w:r>
    </w:p>
    <w:p w14:paraId="336B416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1E27FF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（2）凡在海关特殊监管区域内企业生产或加工（包括从境外进口料件）销往境内其他地区的产品，不作为政府采购项下进口产品。</w:t>
      </w:r>
    </w:p>
    <w:p w14:paraId="55AB834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（3）对从境外进入海关特殊监管区域，再经办理报关手续后从海关特殊监管区进入境内其他地区的产品，认定为进口产品。</w:t>
      </w:r>
    </w:p>
    <w:p w14:paraId="22100B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（4）招标文件列明不允许或未列明允许进口产品参加投标的，均视为拒绝进口产品参加投标。</w:t>
      </w:r>
    </w:p>
    <w:p w14:paraId="36AEC52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B3F35A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8C13CB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（1）中小企业指符合下列条件的中型、小型、微型企业：</w:t>
      </w:r>
    </w:p>
    <w:p w14:paraId="4B1908D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A19F7D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②符合中小企业划分标准的个体工商户，在政府采购活动中视同中小企业。</w:t>
      </w:r>
    </w:p>
    <w:p w14:paraId="1593B3F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（2）在政府采购活动中，供应商提供的货物、工程或者服务符合下列情形的，享受本办法规定的中小企业扶持政策：</w:t>
      </w:r>
    </w:p>
    <w:p w14:paraId="2B2E9BC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①在货物采购项目中，货物由中小企业制造，即货物由中小企业生产且使用该中小企业商号或者注册商标；</w:t>
      </w:r>
    </w:p>
    <w:p w14:paraId="59DA60D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②在工程采购项目中，工程由中小企业承建，即工程施工单位为中小企业；</w:t>
      </w:r>
    </w:p>
    <w:p w14:paraId="362E27A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4FC2A19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6EBDC06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06F7838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（3）投标人应当按照招标文件明确的采购标的对应行业的划分标准出具中小企业声明函。</w:t>
      </w:r>
    </w:p>
    <w:p w14:paraId="1F048D6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A22398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FB39A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045A288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②监狱企业视同小型、微型企业。</w:t>
      </w:r>
    </w:p>
    <w:p w14:paraId="5606A51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（5）残疾人福利性单位指同时符合下列条件的单位：</w:t>
      </w:r>
    </w:p>
    <w:p w14:paraId="119541A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①安置的残疾人占本单位在职职工人数的比例不低于25%（含25%），并且安置的残疾人人数不少于10人（含10人）；</w:t>
      </w:r>
    </w:p>
    <w:p w14:paraId="10CBC1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②依法与安置的每位残疾人签订了一年以上（含一年）的劳动合同或服务协议；</w:t>
      </w:r>
    </w:p>
    <w:p w14:paraId="5966B1C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③为安置的每位残疾人按月足额缴纳了基本养老保险、基本医疗保险、失业保险、工伤保险和生育保险等社会保险费；</w:t>
      </w:r>
    </w:p>
    <w:p w14:paraId="32E7928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6882EFE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4EB051B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7EB8B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359F17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6337EDA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17.5为落实政府采购政策需满足的要求：详见招标文件第一章。</w:t>
      </w:r>
    </w:p>
    <w:p w14:paraId="26EA1300">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九、本项目的有关信息</w:t>
      </w:r>
    </w:p>
    <w:p w14:paraId="1300933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47EC5A1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18.1指定媒体：详见招标文件第二章。</w:t>
      </w:r>
    </w:p>
    <w:p w14:paraId="69148C9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18.2本项目的潜在投标人或投标人应随时关注指定媒体，否则产生不利后果由其自行承担。</w:t>
      </w:r>
    </w:p>
    <w:p w14:paraId="15C6CC9E">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十、其他事项</w:t>
      </w:r>
    </w:p>
    <w:p w14:paraId="4BFA74F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19、其他事项：</w:t>
      </w:r>
    </w:p>
    <w:p w14:paraId="4B3DF23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590665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19.2其他：详见招标文件第二章。</w:t>
      </w:r>
    </w:p>
    <w:p w14:paraId="043284D7">
      <w:pPr>
        <w:pStyle w:val="20"/>
        <w:rPr>
          <w:rFonts w:ascii="宋体" w:hAnsi="宋体" w:eastAsia="宋体" w:cs="宋体"/>
          <w:color w:val="auto"/>
        </w:rPr>
      </w:pPr>
      <w:r>
        <w:rPr>
          <w:rFonts w:ascii="宋体" w:hAnsi="宋体" w:eastAsia="宋体" w:cs="宋体"/>
          <w:color w:val="auto"/>
        </w:rPr>
        <w:t xml:space="preserve"> </w:t>
      </w:r>
      <w:r>
        <w:rPr>
          <w:rFonts w:ascii="宋体" w:hAnsi="宋体" w:eastAsia="宋体" w:cs="宋体"/>
          <w:color w:val="auto"/>
        </w:rPr>
        <w:br w:type="textWrapping"/>
      </w:r>
      <w:r>
        <w:rPr>
          <w:rFonts w:ascii="宋体" w:hAnsi="宋体" w:eastAsia="宋体" w:cs="宋体"/>
          <w:color w:val="auto"/>
        </w:rPr>
        <w:br w:type="page"/>
      </w:r>
    </w:p>
    <w:p w14:paraId="4E2F97F4">
      <w:pPr>
        <w:pStyle w:val="20"/>
        <w:jc w:val="center"/>
        <w:outlineLvl w:val="1"/>
        <w:rPr>
          <w:rFonts w:ascii="宋体" w:hAnsi="宋体" w:eastAsia="宋体" w:cs="宋体"/>
          <w:color w:val="auto"/>
        </w:rPr>
      </w:pPr>
      <w:r>
        <w:rPr>
          <w:rFonts w:ascii="宋体" w:hAnsi="宋体" w:eastAsia="宋体" w:cs="宋体"/>
          <w:b/>
          <w:color w:val="auto"/>
          <w:sz w:val="36"/>
        </w:rPr>
        <w:t>第四章 资格审查与评标</w:t>
      </w:r>
    </w:p>
    <w:p w14:paraId="2FE1D0B5">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一、资格审查</w:t>
      </w:r>
    </w:p>
    <w:p w14:paraId="55386B4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1、开标结束后，由福建正燊招标代理有限公司负责资格审查小组的组建及资格审查工作的组织。</w:t>
      </w:r>
    </w:p>
    <w:p w14:paraId="5A10A20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1.1资格审查小组</w:t>
      </w:r>
    </w:p>
    <w:p w14:paraId="267E613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资格审查小组由3人组成，并负责具体审查事务，其中由采购人派出的采购人代表至少1人，由福建正燊招标代理有限公司派出的工作人员至少1人，其余1人可为采购人代表或福建正燊招标代理有限公司的工作人员。</w:t>
      </w:r>
    </w:p>
    <w:p w14:paraId="3072CA9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1.2资格审查的依据是招标文件和电子投标文件。</w:t>
      </w:r>
    </w:p>
    <w:p w14:paraId="67B568A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1.3资格审查的范围及内容：电子投标文件（资格及资信证明部分），具体如下：</w:t>
      </w:r>
    </w:p>
    <w:p w14:paraId="36FCF9B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（1）“投标函”；</w:t>
      </w:r>
    </w:p>
    <w:p w14:paraId="3E2AD66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（2）“投标人的资格及资信证明文件”</w:t>
      </w:r>
    </w:p>
    <w:p w14:paraId="1DD99DD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①一般资格证明文件：</w:t>
      </w:r>
    </w:p>
    <w:p w14:paraId="2080BCA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采购包1：</w:t>
      </w:r>
    </w:p>
    <w:tbl>
      <w:tblPr>
        <w:tblStyle w:val="15"/>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2354"/>
        <w:gridCol w:w="6548"/>
      </w:tblGrid>
      <w:tr w14:paraId="54F0E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393" w:type="pct"/>
          </w:tcPr>
          <w:p w14:paraId="0B859700">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序号</w:t>
            </w:r>
          </w:p>
        </w:tc>
        <w:tc>
          <w:tcPr>
            <w:tcW w:w="1218" w:type="pct"/>
          </w:tcPr>
          <w:p w14:paraId="22FA935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 xml:space="preserve"> 资格审查要求概况</w:t>
            </w:r>
          </w:p>
        </w:tc>
        <w:tc>
          <w:tcPr>
            <w:tcW w:w="3388" w:type="pct"/>
          </w:tcPr>
          <w:p w14:paraId="610B4898">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7F2A7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58A20B38">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w:t>
            </w:r>
          </w:p>
        </w:tc>
        <w:tc>
          <w:tcPr>
            <w:tcW w:w="1218" w:type="pct"/>
            <w:vAlign w:val="center"/>
          </w:tcPr>
          <w:p w14:paraId="4460423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单位授权书</w:t>
            </w:r>
          </w:p>
        </w:tc>
        <w:tc>
          <w:tcPr>
            <w:tcW w:w="3388" w:type="pct"/>
          </w:tcPr>
          <w:p w14:paraId="0A599D3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226A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3E6A1ED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2</w:t>
            </w:r>
          </w:p>
        </w:tc>
        <w:tc>
          <w:tcPr>
            <w:tcW w:w="1218" w:type="pct"/>
            <w:vAlign w:val="center"/>
          </w:tcPr>
          <w:p w14:paraId="140AFD6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营业执照等证明文件</w:t>
            </w:r>
          </w:p>
        </w:tc>
        <w:tc>
          <w:tcPr>
            <w:tcW w:w="3388" w:type="pct"/>
          </w:tcPr>
          <w:p w14:paraId="5231591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E8E7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71832477">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3</w:t>
            </w:r>
          </w:p>
        </w:tc>
        <w:tc>
          <w:tcPr>
            <w:tcW w:w="1218" w:type="pct"/>
            <w:vAlign w:val="center"/>
          </w:tcPr>
          <w:p w14:paraId="591EFE29">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提供财务状况报告(财务报告、或资信证明）</w:t>
            </w:r>
          </w:p>
        </w:tc>
        <w:tc>
          <w:tcPr>
            <w:tcW w:w="3388" w:type="pct"/>
          </w:tcPr>
          <w:p w14:paraId="757A97D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D7FC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45DD5998">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4</w:t>
            </w:r>
          </w:p>
        </w:tc>
        <w:tc>
          <w:tcPr>
            <w:tcW w:w="1218" w:type="pct"/>
            <w:vAlign w:val="center"/>
          </w:tcPr>
          <w:p w14:paraId="69A13DA5">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依法缴纳税收证明材料</w:t>
            </w:r>
          </w:p>
        </w:tc>
        <w:tc>
          <w:tcPr>
            <w:tcW w:w="3388" w:type="pct"/>
          </w:tcPr>
          <w:p w14:paraId="69E81673">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1296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1FD8B4E3">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5</w:t>
            </w:r>
          </w:p>
        </w:tc>
        <w:tc>
          <w:tcPr>
            <w:tcW w:w="1218" w:type="pct"/>
            <w:vAlign w:val="center"/>
          </w:tcPr>
          <w:p w14:paraId="3E365E2A">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依法缴纳社会保障资金证明材料</w:t>
            </w:r>
          </w:p>
        </w:tc>
        <w:tc>
          <w:tcPr>
            <w:tcW w:w="3388" w:type="pct"/>
          </w:tcPr>
          <w:p w14:paraId="161A2440">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61E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45389ED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6</w:t>
            </w:r>
          </w:p>
        </w:tc>
        <w:tc>
          <w:tcPr>
            <w:tcW w:w="1218" w:type="pct"/>
            <w:vAlign w:val="center"/>
          </w:tcPr>
          <w:p w14:paraId="25314E9E">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具备履行合同所必需设备和专业技术能力的声明函(若有)</w:t>
            </w:r>
          </w:p>
        </w:tc>
        <w:tc>
          <w:tcPr>
            <w:tcW w:w="3388" w:type="pct"/>
          </w:tcPr>
          <w:p w14:paraId="4C8B0A18">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9B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5443BB3F">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7</w:t>
            </w:r>
          </w:p>
        </w:tc>
        <w:tc>
          <w:tcPr>
            <w:tcW w:w="1218" w:type="pct"/>
            <w:vAlign w:val="center"/>
          </w:tcPr>
          <w:p w14:paraId="0920CCD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参加采购活动前三年内在经营活动中没有重大违法记录的声明</w:t>
            </w:r>
          </w:p>
        </w:tc>
        <w:tc>
          <w:tcPr>
            <w:tcW w:w="3388" w:type="pct"/>
          </w:tcPr>
          <w:p w14:paraId="2BA4069D">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4F45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31C269B6">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8</w:t>
            </w:r>
          </w:p>
        </w:tc>
        <w:tc>
          <w:tcPr>
            <w:tcW w:w="1218" w:type="pct"/>
            <w:vAlign w:val="center"/>
          </w:tcPr>
          <w:p w14:paraId="40E36EB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信用记录查询结果</w:t>
            </w:r>
          </w:p>
        </w:tc>
        <w:tc>
          <w:tcPr>
            <w:tcW w:w="3388" w:type="pct"/>
          </w:tcPr>
          <w:p w14:paraId="00C4E102">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30C7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11936B46">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9</w:t>
            </w:r>
          </w:p>
        </w:tc>
        <w:tc>
          <w:tcPr>
            <w:tcW w:w="1218" w:type="pct"/>
            <w:vAlign w:val="center"/>
          </w:tcPr>
          <w:p w14:paraId="086F10F6">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中小企业声明函（以资格条件落实中小企业扶持政策时适用 ）</w:t>
            </w:r>
          </w:p>
        </w:tc>
        <w:tc>
          <w:tcPr>
            <w:tcW w:w="3388" w:type="pct"/>
          </w:tcPr>
          <w:p w14:paraId="6C5866E1">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1A87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pct"/>
            <w:vAlign w:val="center"/>
          </w:tcPr>
          <w:p w14:paraId="534DDD0E">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10</w:t>
            </w:r>
          </w:p>
        </w:tc>
        <w:tc>
          <w:tcPr>
            <w:tcW w:w="1218" w:type="pct"/>
            <w:vAlign w:val="center"/>
          </w:tcPr>
          <w:p w14:paraId="32DCCC3A">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联合体协议（若有）</w:t>
            </w:r>
          </w:p>
        </w:tc>
        <w:tc>
          <w:tcPr>
            <w:tcW w:w="3388" w:type="pct"/>
          </w:tcPr>
          <w:p w14:paraId="3B078FCA">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31B9B95">
      <w:pPr>
        <w:pStyle w:val="20"/>
        <w:spacing w:line="360" w:lineRule="exact"/>
        <w:ind w:firstLine="480"/>
        <w:jc w:val="both"/>
        <w:rPr>
          <w:rFonts w:ascii="宋体" w:hAnsi="宋体" w:eastAsia="宋体" w:cs="宋体"/>
          <w:b/>
          <w:bCs/>
          <w:color w:val="auto"/>
          <w:sz w:val="24"/>
          <w:szCs w:val="24"/>
        </w:rPr>
      </w:pPr>
      <w:r>
        <w:rPr>
          <w:rFonts w:ascii="宋体" w:hAnsi="宋体" w:eastAsia="宋体" w:cs="宋体"/>
          <w:b/>
          <w:bCs/>
          <w:color w:val="auto"/>
          <w:sz w:val="24"/>
          <w:szCs w:val="24"/>
        </w:rPr>
        <w:t>※备注说明</w:t>
      </w:r>
    </w:p>
    <w:p w14:paraId="58144D59">
      <w:pPr>
        <w:pStyle w:val="20"/>
        <w:spacing w:line="360" w:lineRule="exact"/>
        <w:ind w:firstLine="480"/>
        <w:jc w:val="both"/>
        <w:rPr>
          <w:rFonts w:ascii="宋体" w:hAnsi="宋体" w:eastAsia="宋体" w:cs="宋体"/>
          <w:b/>
          <w:bCs/>
          <w:color w:val="auto"/>
          <w:sz w:val="24"/>
          <w:szCs w:val="24"/>
        </w:rPr>
      </w:pPr>
      <w:r>
        <w:rPr>
          <w:rFonts w:ascii="宋体" w:hAnsi="宋体" w:eastAsia="宋体" w:cs="宋体"/>
          <w:b/>
          <w:bCs/>
          <w:color w:val="auto"/>
          <w:sz w:val="24"/>
          <w:szCs w:val="24"/>
        </w:rPr>
        <w:t>①投标人应根据自身实际情况提供上述资格要求的证明材料，格式可参考招标文件第七章提供。</w:t>
      </w:r>
    </w:p>
    <w:p w14:paraId="7E211647">
      <w:pPr>
        <w:pStyle w:val="20"/>
        <w:spacing w:line="360" w:lineRule="exact"/>
        <w:ind w:firstLine="480"/>
        <w:jc w:val="both"/>
        <w:rPr>
          <w:rFonts w:ascii="宋体" w:hAnsi="宋体" w:eastAsia="宋体" w:cs="宋体"/>
          <w:b/>
          <w:bCs/>
          <w:color w:val="auto"/>
          <w:sz w:val="24"/>
          <w:szCs w:val="24"/>
        </w:rPr>
      </w:pPr>
      <w:r>
        <w:rPr>
          <w:rFonts w:ascii="宋体" w:hAnsi="宋体" w:eastAsia="宋体" w:cs="宋体"/>
          <w:b/>
          <w:bCs/>
          <w:color w:val="auto"/>
          <w:sz w:val="24"/>
          <w:szCs w:val="24"/>
        </w:rPr>
        <w:t>②投标人提供的相应证明材料复印件均应符合：内容完整、清晰、整洁，并由投标人加盖其单位公章。</w:t>
      </w:r>
    </w:p>
    <w:p w14:paraId="3983D9D8">
      <w:pPr>
        <w:pStyle w:val="20"/>
        <w:spacing w:line="360" w:lineRule="exact"/>
        <w:ind w:firstLine="480"/>
        <w:rPr>
          <w:rFonts w:ascii="宋体" w:hAnsi="宋体" w:eastAsia="宋体" w:cs="宋体"/>
          <w:b/>
          <w:bCs/>
          <w:color w:val="auto"/>
          <w:sz w:val="24"/>
          <w:szCs w:val="24"/>
        </w:rPr>
      </w:pPr>
      <w:r>
        <w:rPr>
          <w:rFonts w:ascii="宋体" w:hAnsi="宋体" w:eastAsia="宋体" w:cs="宋体"/>
          <w:b/>
          <w:bCs/>
          <w:color w:val="auto"/>
          <w:sz w:val="24"/>
          <w:szCs w:val="24"/>
        </w:rPr>
        <w:t>③根据招标文件第四章第一点资格审查的1.3“④其他资格证明文件”要求，允许供应商采用资格承诺制的并提供符合要求的资格承诺函，视为满足招标文件的资格要求。</w:t>
      </w:r>
    </w:p>
    <w:p w14:paraId="7C433D7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④.其他资格证明文件：</w:t>
      </w:r>
    </w:p>
    <w:p w14:paraId="55AFC0E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采购包1：</w:t>
      </w:r>
    </w:p>
    <w:tbl>
      <w:tblPr>
        <w:tblStyle w:val="15"/>
        <w:tblW w:w="494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017"/>
      </w:tblGrid>
      <w:tr w14:paraId="78C00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0" w:hRule="atLeast"/>
        </w:trPr>
        <w:tc>
          <w:tcPr>
            <w:tcW w:w="1330" w:type="pct"/>
          </w:tcPr>
          <w:p w14:paraId="5051938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资格审查要求概况</w:t>
            </w:r>
          </w:p>
        </w:tc>
        <w:tc>
          <w:tcPr>
            <w:tcW w:w="3669" w:type="pct"/>
          </w:tcPr>
          <w:p w14:paraId="18EC9327">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评审点具体描述</w:t>
            </w:r>
          </w:p>
        </w:tc>
      </w:tr>
      <w:tr w14:paraId="3FD9B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pct"/>
            <w:vAlign w:val="center"/>
          </w:tcPr>
          <w:p w14:paraId="61A50940">
            <w:pPr>
              <w:pStyle w:val="20"/>
              <w:spacing w:line="360" w:lineRule="exact"/>
              <w:jc w:val="both"/>
              <w:rPr>
                <w:rFonts w:hint="eastAsia" w:ascii="宋体" w:hAnsi="宋体" w:cs="宋体"/>
                <w:color w:val="auto"/>
                <w:sz w:val="24"/>
              </w:rPr>
            </w:pPr>
            <w:r>
              <w:rPr>
                <w:rFonts w:ascii="宋体" w:hAnsi="宋体" w:eastAsia="宋体" w:cs="宋体"/>
                <w:color w:val="auto"/>
                <w:sz w:val="24"/>
                <w:szCs w:val="24"/>
              </w:rPr>
              <w:t>资格承诺函</w:t>
            </w:r>
          </w:p>
        </w:tc>
        <w:tc>
          <w:tcPr>
            <w:tcW w:w="3669" w:type="pct"/>
            <w:vAlign w:val="top"/>
          </w:tcPr>
          <w:p w14:paraId="1CAB51CB">
            <w:pPr>
              <w:pStyle w:val="20"/>
              <w:spacing w:line="360" w:lineRule="exact"/>
              <w:jc w:val="both"/>
              <w:rPr>
                <w:rFonts w:hint="eastAsia" w:ascii="宋体" w:hAnsi="宋体" w:cs="宋体"/>
                <w:color w:val="auto"/>
                <w:sz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C168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pct"/>
            <w:vAlign w:val="center"/>
          </w:tcPr>
          <w:p w14:paraId="3EF7F0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0" w:lineRule="atLeast"/>
              <w:ind w:left="0" w:leftChars="0" w:right="0" w:rightChars="0" w:firstLine="0" w:firstLineChars="0"/>
              <w:jc w:val="left"/>
              <w:textAlignment w:val="auto"/>
              <w:rPr>
                <w:rFonts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highlight w:val="none"/>
                <w:lang w:val="en-US" w:eastAsia="zh-CN" w:bidi="ar"/>
              </w:rPr>
              <w:t>本采购包属于专门面向中小企业采购。</w:t>
            </w:r>
          </w:p>
        </w:tc>
        <w:tc>
          <w:tcPr>
            <w:tcW w:w="3669" w:type="pct"/>
            <w:vAlign w:val="center"/>
          </w:tcPr>
          <w:p w14:paraId="67E95C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0" w:lineRule="atLeast"/>
              <w:ind w:left="0" w:leftChars="0" w:right="0" w:rightChars="0" w:firstLine="0" w:firstLineChars="0"/>
              <w:jc w:val="left"/>
              <w:textAlignment w:val="auto"/>
              <w:rPr>
                <w:rFonts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highlight w:val="none"/>
                <w:lang w:val="en-US" w:eastAsia="zh-CN" w:bidi="ar"/>
              </w:rPr>
              <w:t>本采购包为专门面向中小企业采购，投标人须提供《中小企业声明函</w:t>
            </w:r>
            <w:r>
              <w:rPr>
                <w:rFonts w:hint="eastAsia" w:ascii="宋体" w:hAnsi="宋体" w:cs="宋体"/>
                <w:i w:val="0"/>
                <w:iCs w:val="0"/>
                <w:caps w:val="0"/>
                <w:color w:val="auto"/>
                <w:spacing w:val="0"/>
                <w:kern w:val="0"/>
                <w:sz w:val="24"/>
                <w:szCs w:val="24"/>
                <w:highlight w:val="none"/>
                <w:lang w:val="en-US" w:eastAsia="zh-CN" w:bidi="ar"/>
              </w:rPr>
              <w:t>（工程、服务）</w:t>
            </w:r>
            <w:r>
              <w:rPr>
                <w:rFonts w:hint="eastAsia" w:ascii="宋体" w:hAnsi="宋体" w:eastAsia="宋体" w:cs="宋体"/>
                <w:i w:val="0"/>
                <w:iCs w:val="0"/>
                <w:caps w:val="0"/>
                <w:color w:val="auto"/>
                <w:spacing w:val="0"/>
                <w:kern w:val="0"/>
                <w:sz w:val="24"/>
                <w:szCs w:val="24"/>
                <w:highlight w:val="none"/>
                <w:lang w:val="en-US" w:eastAsia="zh-CN" w:bidi="ar"/>
              </w:rPr>
              <w:t>》。若投标人提供的《中小企业声明函》中填写的行业与招标文件明确的采购标的对应的中小企业划分标准所属行业不一致，则不予认定为中小企业。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采购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投标人应按照采购文件第七章规定提供。注：享受扶持政策获得政府采购合同的，小微企业不得将合同分包给大中型企业，中型企业不得将合同分包给大型企业。（注：</w:t>
            </w:r>
            <w:r>
              <w:rPr>
                <w:rFonts w:hint="eastAsia" w:ascii="宋体" w:hAnsi="宋体" w:cs="宋体"/>
                <w:i w:val="0"/>
                <w:iCs w:val="0"/>
                <w:caps w:val="0"/>
                <w:color w:val="auto"/>
                <w:spacing w:val="0"/>
                <w:kern w:val="0"/>
                <w:sz w:val="24"/>
                <w:szCs w:val="24"/>
                <w:highlight w:val="none"/>
                <w:lang w:val="en-US" w:eastAsia="zh-CN" w:bidi="ar"/>
              </w:rPr>
              <w:t>本采购包为服务类采购项目</w:t>
            </w:r>
            <w:r>
              <w:rPr>
                <w:rFonts w:hint="eastAsia" w:ascii="宋体" w:hAnsi="宋体" w:eastAsia="宋体" w:cs="宋体"/>
                <w:i w:val="0"/>
                <w:iCs w:val="0"/>
                <w:caps w:val="0"/>
                <w:color w:val="auto"/>
                <w:spacing w:val="0"/>
                <w:kern w:val="0"/>
                <w:sz w:val="24"/>
                <w:szCs w:val="24"/>
                <w:highlight w:val="none"/>
                <w:lang w:val="en-US" w:eastAsia="zh-CN" w:bidi="ar"/>
              </w:rPr>
              <w:t>，采购标的对应的中小企业划分标准所属行业为“</w:t>
            </w:r>
            <w:r>
              <w:rPr>
                <w:rFonts w:ascii="宋体" w:hAnsi="宋体" w:eastAsia="宋体" w:cs="宋体"/>
                <w:color w:val="auto"/>
                <w:kern w:val="0"/>
                <w:sz w:val="24"/>
                <w:szCs w:val="24"/>
                <w:lang w:val="en-US" w:eastAsia="zh-CN" w:bidi="ar"/>
              </w:rPr>
              <w:t>其他未列明行业</w:t>
            </w:r>
            <w:r>
              <w:rPr>
                <w:rFonts w:hint="eastAsia" w:ascii="宋体" w:hAnsi="宋体" w:eastAsia="宋体" w:cs="宋体"/>
                <w:i w:val="0"/>
                <w:iCs w:val="0"/>
                <w:caps w:val="0"/>
                <w:color w:val="auto"/>
                <w:spacing w:val="0"/>
                <w:kern w:val="0"/>
                <w:sz w:val="24"/>
                <w:szCs w:val="24"/>
                <w:highlight w:val="none"/>
                <w:lang w:val="en-US" w:eastAsia="zh-CN" w:bidi="ar"/>
              </w:rPr>
              <w:t>”）</w:t>
            </w:r>
          </w:p>
        </w:tc>
      </w:tr>
    </w:tbl>
    <w:p w14:paraId="0F5D8F0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（3）投标保证金。</w:t>
      </w:r>
    </w:p>
    <w:p w14:paraId="537B21A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1.4有下列情形之一的，资格审查不合格：</w:t>
      </w:r>
    </w:p>
    <w:tbl>
      <w:tblPr>
        <w:tblStyle w:val="15"/>
        <w:tblW w:w="492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29"/>
      </w:tblGrid>
      <w:tr w14:paraId="0D8A3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92DCACD">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明细</w:t>
            </w:r>
          </w:p>
        </w:tc>
      </w:tr>
      <w:tr w14:paraId="0E6A0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8FA145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未按照招标文件规定提交投标函</w:t>
            </w:r>
          </w:p>
        </w:tc>
      </w:tr>
      <w:tr w14:paraId="6B245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95E31D7">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未按照招标文件规定提交投标人的资格及资信文件</w:t>
            </w:r>
          </w:p>
        </w:tc>
      </w:tr>
      <w:tr w14:paraId="57B64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B77E627">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未按照招标文件规定提交投标保证金</w:t>
            </w:r>
          </w:p>
        </w:tc>
      </w:tr>
    </w:tbl>
    <w:p w14:paraId="6F4EFCF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采购包1：</w:t>
      </w:r>
    </w:p>
    <w:p w14:paraId="0F14E78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资格审查不合格项：</w:t>
      </w:r>
    </w:p>
    <w:tbl>
      <w:tblPr>
        <w:tblStyle w:val="15"/>
        <w:tblW w:w="95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48"/>
        <w:gridCol w:w="6952"/>
      </w:tblGrid>
      <w:tr w14:paraId="5BDD4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2548" w:type="dxa"/>
            <w:vAlign w:val="center"/>
          </w:tcPr>
          <w:p w14:paraId="2878650D">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情形</w:t>
            </w:r>
          </w:p>
        </w:tc>
        <w:tc>
          <w:tcPr>
            <w:tcW w:w="6952" w:type="dxa"/>
            <w:vAlign w:val="center"/>
          </w:tcPr>
          <w:p w14:paraId="473CC56F">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明细</w:t>
            </w:r>
          </w:p>
        </w:tc>
      </w:tr>
      <w:tr w14:paraId="11EAA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8" w:type="dxa"/>
            <w:vAlign w:val="center"/>
          </w:tcPr>
          <w:p w14:paraId="2AA01E2F">
            <w:pPr>
              <w:pStyle w:val="20"/>
              <w:spacing w:line="320" w:lineRule="atLeast"/>
              <w:rPr>
                <w:rFonts w:ascii="宋体" w:hAnsi="宋体" w:eastAsia="宋体" w:cs="宋体"/>
                <w:bCs/>
                <w:color w:val="auto"/>
                <w:sz w:val="24"/>
                <w:szCs w:val="24"/>
              </w:rPr>
            </w:pPr>
            <w:r>
              <w:rPr>
                <w:rFonts w:ascii="宋体" w:hAnsi="宋体" w:eastAsia="宋体" w:cs="宋体"/>
                <w:bCs/>
                <w:color w:val="auto"/>
                <w:sz w:val="24"/>
                <w:szCs w:val="24"/>
              </w:rPr>
              <w:t>其他情形</w:t>
            </w:r>
          </w:p>
        </w:tc>
        <w:tc>
          <w:tcPr>
            <w:tcW w:w="6952" w:type="dxa"/>
            <w:vAlign w:val="center"/>
          </w:tcPr>
          <w:p w14:paraId="5E5989FD">
            <w:pPr>
              <w:pStyle w:val="20"/>
              <w:spacing w:line="320" w:lineRule="atLeast"/>
              <w:rPr>
                <w:rFonts w:ascii="宋体" w:hAnsi="宋体" w:eastAsia="宋体" w:cs="宋体"/>
                <w:bCs/>
                <w:color w:val="auto"/>
                <w:sz w:val="24"/>
                <w:szCs w:val="24"/>
              </w:rPr>
            </w:pPr>
            <w:r>
              <w:rPr>
                <w:rFonts w:ascii="宋体" w:hAnsi="宋体" w:eastAsia="宋体" w:cs="宋体"/>
                <w:bCs/>
                <w:color w:val="auto"/>
                <w:sz w:val="24"/>
                <w:szCs w:val="24"/>
              </w:rPr>
              <w:t>（1）资格及资信证明部分中不得出现报价部分的全部或部分的投标报价信息（或组成资料），否则资格审查不合格；(2)出现招标文件中载明“资格审查不合格”条款的规定。</w:t>
            </w:r>
          </w:p>
        </w:tc>
      </w:tr>
    </w:tbl>
    <w:p w14:paraId="65BF9816">
      <w:pPr>
        <w:pStyle w:val="20"/>
        <w:spacing w:line="360" w:lineRule="exact"/>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2FAC05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2、资格审查情况不得私自外泄，有关信息由 福建正燊招标代理有限公司 统一对外发布。</w:t>
      </w:r>
    </w:p>
    <w:p w14:paraId="59B74BF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3、资格审查合格的投标人不足三家的，不进行评标。同时，本次采购活动结束， 福建正燊招标代理有限公司 将依法组织后续采购活动（包括但不限于：重新招标、采用其他方式采购等）。</w:t>
      </w:r>
    </w:p>
    <w:p w14:paraId="405F479E">
      <w:pPr>
        <w:pStyle w:val="20"/>
        <w:spacing w:line="360" w:lineRule="exact"/>
        <w:jc w:val="both"/>
        <w:outlineLvl w:val="2"/>
        <w:rPr>
          <w:rFonts w:ascii="宋体" w:hAnsi="宋体" w:eastAsia="宋体" w:cs="宋体"/>
          <w:color w:val="auto"/>
          <w:sz w:val="24"/>
          <w:szCs w:val="24"/>
        </w:rPr>
      </w:pPr>
      <w:r>
        <w:rPr>
          <w:rFonts w:ascii="宋体" w:hAnsi="宋体" w:eastAsia="宋体" w:cs="宋体"/>
          <w:b/>
          <w:color w:val="auto"/>
          <w:sz w:val="24"/>
          <w:szCs w:val="24"/>
        </w:rPr>
        <w:t>二、评标</w:t>
      </w:r>
    </w:p>
    <w:p w14:paraId="25DFBCC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4、资格审查结束后，由福建正燊招标代理有限公司负责评标委员会的组建及评标工作的组织。</w:t>
      </w:r>
    </w:p>
    <w:p w14:paraId="0069A9D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5、评标委员会</w:t>
      </w:r>
    </w:p>
    <w:p w14:paraId="20C3F6B4">
      <w:pPr>
        <w:pStyle w:val="20"/>
        <w:spacing w:line="320" w:lineRule="atLeast"/>
        <w:ind w:firstLine="480" w:firstLineChars="200"/>
        <w:jc w:val="both"/>
        <w:rPr>
          <w:rFonts w:ascii="宋体" w:hAnsi="宋体" w:eastAsia="宋体" w:cs="宋体"/>
          <w:color w:val="auto"/>
          <w:sz w:val="24"/>
          <w:szCs w:val="24"/>
        </w:rPr>
      </w:pPr>
      <w:r>
        <w:rPr>
          <w:rFonts w:ascii="宋体" w:hAnsi="宋体" w:eastAsia="宋体" w:cs="宋体"/>
          <w:bCs/>
          <w:color w:val="auto"/>
          <w:sz w:val="24"/>
          <w:szCs w:val="24"/>
        </w:rPr>
        <w:t>由采购人代表和评审专家两部分共</w:t>
      </w:r>
      <w:r>
        <w:rPr>
          <w:rFonts w:hint="eastAsia" w:ascii="宋体" w:hAnsi="宋体" w:eastAsia="宋体" w:cs="宋体"/>
          <w:bCs/>
          <w:color w:val="auto"/>
          <w:sz w:val="24"/>
          <w:szCs w:val="24"/>
          <w:lang w:val="en-US" w:eastAsia="zh-CN"/>
        </w:rPr>
        <w:t>7</w:t>
      </w:r>
      <w:r>
        <w:rPr>
          <w:rFonts w:ascii="宋体" w:hAnsi="宋体" w:eastAsia="宋体" w:cs="宋体"/>
          <w:bCs/>
          <w:color w:val="auto"/>
          <w:sz w:val="24"/>
          <w:szCs w:val="24"/>
        </w:rPr>
        <w:t>人组成，其中由福建省政府采购评审专家库产生的评审专家</w:t>
      </w:r>
      <w:r>
        <w:rPr>
          <w:rFonts w:hint="eastAsia" w:ascii="宋体" w:hAnsi="宋体" w:eastAsia="宋体" w:cs="宋体"/>
          <w:bCs/>
          <w:color w:val="auto"/>
          <w:sz w:val="24"/>
          <w:szCs w:val="24"/>
          <w:lang w:val="en-US" w:eastAsia="zh-CN"/>
        </w:rPr>
        <w:t>5</w:t>
      </w:r>
      <w:r>
        <w:rPr>
          <w:rFonts w:ascii="宋体" w:hAnsi="宋体" w:eastAsia="宋体" w:cs="宋体"/>
          <w:bCs/>
          <w:color w:val="auto"/>
          <w:sz w:val="24"/>
          <w:szCs w:val="24"/>
        </w:rPr>
        <w:t>人，由采购人派出的采购人代表</w:t>
      </w:r>
      <w:r>
        <w:rPr>
          <w:rFonts w:hint="eastAsia" w:ascii="宋体" w:hAnsi="宋体" w:eastAsia="宋体" w:cs="宋体"/>
          <w:bCs/>
          <w:color w:val="auto"/>
          <w:sz w:val="24"/>
          <w:szCs w:val="24"/>
          <w:lang w:val="en-US" w:eastAsia="zh-CN"/>
        </w:rPr>
        <w:t>2</w:t>
      </w:r>
      <w:r>
        <w:rPr>
          <w:rFonts w:ascii="宋体" w:hAnsi="宋体" w:eastAsia="宋体" w:cs="宋体"/>
          <w:bCs/>
          <w:color w:val="auto"/>
          <w:sz w:val="24"/>
          <w:szCs w:val="24"/>
        </w:rPr>
        <w:t>人。</w:t>
      </w:r>
    </w:p>
    <w:p w14:paraId="020BFDD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5.2评标委员会负责具体评标事务，并按照下列原则依法独立履行有关职责：</w:t>
      </w:r>
    </w:p>
    <w:p w14:paraId="0985214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（1）评标应保护国家利益、社会公共利益和各方当事人合法权益，提高采购效益，保证项目质量。</w:t>
      </w:r>
    </w:p>
    <w:p w14:paraId="7F4D7B5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（2）评标应遵循公平、公正、科学、严谨和择优原则。</w:t>
      </w:r>
    </w:p>
    <w:p w14:paraId="0DE29AC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（3）评标的依据是招标文件和电子投标文件。</w:t>
      </w:r>
    </w:p>
    <w:p w14:paraId="5134180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（4）应按照招标文件规定推荐中标候选人或确定中标人。</w:t>
      </w:r>
    </w:p>
    <w:p w14:paraId="1508255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（5）评标应遵守下列评标纪律：</w:t>
      </w:r>
    </w:p>
    <w:p w14:paraId="4554216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①评标情况不得私自外泄，有关信息由 福建正燊招标代理有限公司 统一对外发布。</w:t>
      </w:r>
    </w:p>
    <w:p w14:paraId="4D48440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②对 福建正燊招标代理有限公司 或投标人提供的要求保密的资料，不得摘记翻印和外传。</w:t>
      </w:r>
    </w:p>
    <w:p w14:paraId="241110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000DD3E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④全体评委应按照招标文件规定进行评标，一切认定事项应查有实据且不得弄虚作假。</w:t>
      </w:r>
    </w:p>
    <w:p w14:paraId="117ECA3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⑤评标中应充分发扬民主，推荐中标候选人或确定中标人后要服从评标报告。</w:t>
      </w:r>
    </w:p>
    <w:p w14:paraId="7597F91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※对违反评标纪律的评委，将取消其评委资格，对评标工作造成严重损失者将予以通报批评乃至追究法律责任。</w:t>
      </w:r>
    </w:p>
    <w:p w14:paraId="0426A70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6、评标程序</w:t>
      </w:r>
    </w:p>
    <w:p w14:paraId="315A67A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6.1评标前的准备工作</w:t>
      </w:r>
    </w:p>
    <w:p w14:paraId="0CC2246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（1）全体评委应认真审阅招标文件，了解评委应履行或遵守的职责、义务和评标纪律。</w:t>
      </w:r>
    </w:p>
    <w:p w14:paraId="2E69AC9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089182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6.2符合性审查</w:t>
      </w:r>
    </w:p>
    <w:p w14:paraId="0FF60FC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0D8512B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（2）满足招标文件的实质性要求指电子投标文件对招标文件实质性要求的响应不存在重大偏差或保留。</w:t>
      </w:r>
    </w:p>
    <w:p w14:paraId="24E53DA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E8C79D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893A06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（5）评标委员会对所有投标人都执行相同的程序和标准。</w:t>
      </w:r>
    </w:p>
    <w:p w14:paraId="337B75D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（6）有下列情形之一的，符合性审查不合格：</w:t>
      </w:r>
    </w:p>
    <w:p w14:paraId="6F4D3D1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①项目一般情形：</w:t>
      </w:r>
    </w:p>
    <w:p w14:paraId="05873317">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采购包1：</w:t>
      </w:r>
    </w:p>
    <w:tbl>
      <w:tblPr>
        <w:tblStyle w:val="15"/>
        <w:tblW w:w="495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1"/>
        <w:gridCol w:w="2223"/>
        <w:gridCol w:w="6631"/>
      </w:tblGrid>
      <w:tr w14:paraId="35611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6" w:type="pct"/>
          </w:tcPr>
          <w:p w14:paraId="5122E440">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序号</w:t>
            </w:r>
          </w:p>
        </w:tc>
        <w:tc>
          <w:tcPr>
            <w:tcW w:w="1158" w:type="pct"/>
          </w:tcPr>
          <w:p w14:paraId="564F712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符合审查要求概况</w:t>
            </w:r>
          </w:p>
        </w:tc>
        <w:tc>
          <w:tcPr>
            <w:tcW w:w="3454" w:type="pct"/>
          </w:tcPr>
          <w:p w14:paraId="0F8F240D">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7B906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6" w:type="pct"/>
          </w:tcPr>
          <w:p w14:paraId="2080AF0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1</w:t>
            </w:r>
          </w:p>
        </w:tc>
        <w:tc>
          <w:tcPr>
            <w:tcW w:w="1158" w:type="pct"/>
          </w:tcPr>
          <w:p w14:paraId="00FD3ACF">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情形1</w:t>
            </w:r>
          </w:p>
        </w:tc>
        <w:tc>
          <w:tcPr>
            <w:tcW w:w="3454" w:type="pct"/>
          </w:tcPr>
          <w:p w14:paraId="2B4FBFB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违反招标文件中载明“投标无效”条款的规定；</w:t>
            </w:r>
          </w:p>
        </w:tc>
      </w:tr>
      <w:tr w14:paraId="6F24B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6" w:type="pct"/>
          </w:tcPr>
          <w:p w14:paraId="54CF687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2</w:t>
            </w:r>
          </w:p>
        </w:tc>
        <w:tc>
          <w:tcPr>
            <w:tcW w:w="1158" w:type="pct"/>
          </w:tcPr>
          <w:p w14:paraId="39CDA3A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情形2</w:t>
            </w:r>
          </w:p>
        </w:tc>
        <w:tc>
          <w:tcPr>
            <w:tcW w:w="3454" w:type="pct"/>
          </w:tcPr>
          <w:p w14:paraId="67438220">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属于招标文件第三章第10.12条规定的投标无效情形；</w:t>
            </w:r>
          </w:p>
        </w:tc>
      </w:tr>
      <w:tr w14:paraId="5F091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6" w:type="pct"/>
          </w:tcPr>
          <w:p w14:paraId="4373820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3</w:t>
            </w:r>
          </w:p>
        </w:tc>
        <w:tc>
          <w:tcPr>
            <w:tcW w:w="1158" w:type="pct"/>
          </w:tcPr>
          <w:p w14:paraId="224FF0A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情形3</w:t>
            </w:r>
          </w:p>
        </w:tc>
        <w:tc>
          <w:tcPr>
            <w:tcW w:w="3454" w:type="pct"/>
          </w:tcPr>
          <w:p w14:paraId="36F9CF7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投标文件对招标文件实质性要求的响应存在重大偏离或保留。</w:t>
            </w:r>
          </w:p>
        </w:tc>
      </w:tr>
    </w:tbl>
    <w:p w14:paraId="03FB727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②本项目规定的其他情形：</w:t>
      </w:r>
    </w:p>
    <w:p w14:paraId="05C71873">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采购包1：</w:t>
      </w:r>
    </w:p>
    <w:p w14:paraId="6B3F8085">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技术符合性：</w:t>
      </w:r>
    </w:p>
    <w:tbl>
      <w:tblPr>
        <w:tblStyle w:val="15"/>
        <w:tblW w:w="96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7"/>
        <w:gridCol w:w="7053"/>
      </w:tblGrid>
      <w:tr w14:paraId="71477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trPr>
        <w:tc>
          <w:tcPr>
            <w:tcW w:w="2557" w:type="dxa"/>
            <w:vAlign w:val="center"/>
          </w:tcPr>
          <w:p w14:paraId="78943D3B">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情形</w:t>
            </w:r>
          </w:p>
        </w:tc>
        <w:tc>
          <w:tcPr>
            <w:tcW w:w="7053" w:type="dxa"/>
            <w:vAlign w:val="center"/>
          </w:tcPr>
          <w:p w14:paraId="330E826E">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明细</w:t>
            </w:r>
          </w:p>
        </w:tc>
      </w:tr>
      <w:tr w14:paraId="6417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2557" w:type="dxa"/>
            <w:vAlign w:val="center"/>
          </w:tcPr>
          <w:p w14:paraId="27AC6138">
            <w:pPr>
              <w:pStyle w:val="20"/>
              <w:spacing w:line="320" w:lineRule="atLeast"/>
              <w:rPr>
                <w:rFonts w:ascii="宋体" w:hAnsi="宋体" w:eastAsia="宋体" w:cs="宋体"/>
                <w:bCs/>
                <w:color w:val="auto"/>
                <w:sz w:val="24"/>
                <w:szCs w:val="24"/>
              </w:rPr>
            </w:pPr>
            <w:r>
              <w:rPr>
                <w:rFonts w:ascii="宋体" w:hAnsi="宋体" w:eastAsia="宋体" w:cs="宋体"/>
                <w:bCs/>
                <w:color w:val="auto"/>
                <w:sz w:val="24"/>
                <w:szCs w:val="24"/>
              </w:rPr>
              <w:t>其他情形</w:t>
            </w:r>
          </w:p>
        </w:tc>
        <w:tc>
          <w:tcPr>
            <w:tcW w:w="7053" w:type="dxa"/>
            <w:vAlign w:val="center"/>
          </w:tcPr>
          <w:p w14:paraId="5FEB125E">
            <w:pPr>
              <w:pStyle w:val="20"/>
              <w:spacing w:line="320" w:lineRule="atLeast"/>
              <w:rPr>
                <w:rFonts w:ascii="宋体" w:hAnsi="宋体" w:eastAsia="宋体" w:cs="宋体"/>
                <w:bCs/>
                <w:color w:val="auto"/>
                <w:sz w:val="24"/>
                <w:szCs w:val="24"/>
                <w:lang w:eastAsia="zh-CN"/>
              </w:rPr>
            </w:pPr>
            <w:r>
              <w:rPr>
                <w:rFonts w:ascii="宋体" w:hAnsi="宋体" w:eastAsia="宋体" w:cs="宋体"/>
                <w:bCs/>
                <w:color w:val="auto"/>
                <w:sz w:val="24"/>
                <w:szCs w:val="24"/>
                <w:lang w:eastAsia="zh-CN"/>
              </w:rPr>
              <w:t>(1)</w:t>
            </w:r>
            <w:r>
              <w:rPr>
                <w:rFonts w:ascii="宋体" w:hAnsi="宋体" w:eastAsia="宋体" w:cs="宋体"/>
                <w:bCs/>
                <w:color w:val="auto"/>
                <w:sz w:val="24"/>
                <w:szCs w:val="24"/>
              </w:rPr>
              <w:t>未按照招标文件规定要求签署、盖章的；</w:t>
            </w:r>
            <w:r>
              <w:rPr>
                <w:rFonts w:ascii="宋体" w:hAnsi="宋体" w:eastAsia="宋体" w:cs="宋体"/>
                <w:bCs/>
                <w:color w:val="auto"/>
                <w:sz w:val="24"/>
                <w:szCs w:val="24"/>
                <w:lang w:eastAsia="zh-CN"/>
              </w:rPr>
              <w:t>(2)</w:t>
            </w:r>
            <w:r>
              <w:rPr>
                <w:rFonts w:ascii="宋体" w:hAnsi="宋体" w:eastAsia="宋体" w:cs="宋体"/>
                <w:bCs/>
                <w:color w:val="auto"/>
                <w:sz w:val="24"/>
                <w:szCs w:val="24"/>
              </w:rPr>
              <w:t>不符合招标文件中规定的实质性要求和条件、无效投标条款的；</w:t>
            </w:r>
            <w:r>
              <w:rPr>
                <w:rFonts w:ascii="宋体" w:hAnsi="宋体" w:eastAsia="宋体" w:cs="宋体"/>
                <w:bCs/>
                <w:color w:val="auto"/>
                <w:sz w:val="24"/>
                <w:szCs w:val="24"/>
                <w:lang w:eastAsia="zh-CN"/>
              </w:rPr>
              <w:t>(3)</w:t>
            </w:r>
            <w:r>
              <w:rPr>
                <w:rFonts w:ascii="宋体" w:hAnsi="宋体" w:eastAsia="宋体" w:cs="宋体"/>
                <w:bCs/>
                <w:color w:val="auto"/>
                <w:sz w:val="24"/>
                <w:szCs w:val="24"/>
              </w:rPr>
              <w:t>属于招标文件规定的符合性审查不合格情形；</w:t>
            </w:r>
            <w:r>
              <w:rPr>
                <w:rFonts w:ascii="宋体" w:hAnsi="宋体" w:eastAsia="宋体" w:cs="宋体"/>
                <w:bCs/>
                <w:color w:val="auto"/>
                <w:sz w:val="24"/>
                <w:szCs w:val="24"/>
                <w:lang w:eastAsia="zh-CN"/>
              </w:rPr>
              <w:t>(4)</w:t>
            </w:r>
            <w:r>
              <w:rPr>
                <w:rFonts w:ascii="宋体" w:hAnsi="宋体" w:eastAsia="宋体" w:cs="宋体"/>
                <w:bCs/>
                <w:color w:val="auto"/>
                <w:sz w:val="24"/>
                <w:szCs w:val="24"/>
              </w:rPr>
              <w:t>属于招标文件规定评标委员会应否决其投标的情形；</w:t>
            </w:r>
            <w:r>
              <w:rPr>
                <w:rFonts w:ascii="宋体" w:hAnsi="宋体" w:eastAsia="宋体" w:cs="宋体"/>
                <w:bCs/>
                <w:color w:val="auto"/>
                <w:sz w:val="24"/>
                <w:szCs w:val="24"/>
                <w:lang w:eastAsia="zh-CN"/>
              </w:rPr>
              <w:t>(5)</w:t>
            </w:r>
            <w:r>
              <w:rPr>
                <w:rFonts w:ascii="宋体" w:hAnsi="宋体" w:eastAsia="宋体" w:cs="宋体"/>
                <w:bCs/>
                <w:color w:val="auto"/>
                <w:sz w:val="24"/>
                <w:szCs w:val="24"/>
              </w:rPr>
              <w:t>投标文件的技术部分中出现报价部分的全部或部分的投标报价信息(或组成资料)</w:t>
            </w:r>
            <w:r>
              <w:rPr>
                <w:rFonts w:ascii="宋体" w:hAnsi="宋体" w:eastAsia="宋体" w:cs="宋体"/>
                <w:bCs/>
                <w:color w:val="auto"/>
                <w:sz w:val="24"/>
                <w:szCs w:val="24"/>
                <w:lang w:eastAsia="zh-CN"/>
              </w:rPr>
              <w:t>。</w:t>
            </w:r>
          </w:p>
        </w:tc>
      </w:tr>
    </w:tbl>
    <w:p w14:paraId="5B5AA0F5">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商务符合性：</w:t>
      </w:r>
    </w:p>
    <w:tbl>
      <w:tblPr>
        <w:tblStyle w:val="15"/>
        <w:tblW w:w="95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17"/>
        <w:gridCol w:w="7078"/>
      </w:tblGrid>
      <w:tr w14:paraId="3CE51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2517" w:type="dxa"/>
            <w:vAlign w:val="center"/>
          </w:tcPr>
          <w:p w14:paraId="3A2EC45C">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情形</w:t>
            </w:r>
          </w:p>
        </w:tc>
        <w:tc>
          <w:tcPr>
            <w:tcW w:w="7078" w:type="dxa"/>
            <w:vAlign w:val="center"/>
          </w:tcPr>
          <w:p w14:paraId="4537F380">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明细</w:t>
            </w:r>
          </w:p>
        </w:tc>
      </w:tr>
      <w:tr w14:paraId="65C37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7" w:type="dxa"/>
            <w:vAlign w:val="center"/>
          </w:tcPr>
          <w:p w14:paraId="735DADF8">
            <w:pPr>
              <w:pStyle w:val="20"/>
              <w:spacing w:line="320" w:lineRule="atLeast"/>
              <w:jc w:val="both"/>
              <w:rPr>
                <w:rFonts w:ascii="宋体" w:hAnsi="宋体" w:eastAsia="宋体" w:cs="宋体"/>
                <w:bCs/>
                <w:color w:val="auto"/>
                <w:sz w:val="24"/>
                <w:szCs w:val="24"/>
              </w:rPr>
            </w:pPr>
            <w:r>
              <w:rPr>
                <w:rFonts w:ascii="宋体" w:hAnsi="宋体" w:eastAsia="宋体" w:cs="宋体"/>
                <w:bCs/>
                <w:color w:val="auto"/>
                <w:sz w:val="24"/>
                <w:szCs w:val="24"/>
              </w:rPr>
              <w:t>其他情形</w:t>
            </w:r>
          </w:p>
        </w:tc>
        <w:tc>
          <w:tcPr>
            <w:tcW w:w="7078" w:type="dxa"/>
            <w:vAlign w:val="center"/>
          </w:tcPr>
          <w:p w14:paraId="6C5AF15B">
            <w:pPr>
              <w:pStyle w:val="20"/>
              <w:spacing w:line="320" w:lineRule="atLeast"/>
              <w:jc w:val="both"/>
              <w:rPr>
                <w:rFonts w:ascii="宋体" w:hAnsi="宋体" w:eastAsia="宋体" w:cs="宋体"/>
                <w:bCs/>
                <w:color w:val="auto"/>
                <w:sz w:val="24"/>
                <w:szCs w:val="24"/>
              </w:rPr>
            </w:pPr>
            <w:r>
              <w:rPr>
                <w:rFonts w:ascii="宋体" w:hAnsi="宋体" w:eastAsia="宋体" w:cs="宋体"/>
                <w:bCs/>
                <w:color w:val="auto"/>
                <w:sz w:val="24"/>
                <w:szCs w:val="24"/>
                <w:lang w:eastAsia="zh-CN"/>
              </w:rPr>
              <w:t>(1)</w:t>
            </w:r>
            <w:r>
              <w:rPr>
                <w:rFonts w:ascii="宋体" w:hAnsi="宋体" w:eastAsia="宋体" w:cs="宋体"/>
                <w:bCs/>
                <w:color w:val="auto"/>
                <w:sz w:val="24"/>
                <w:szCs w:val="24"/>
              </w:rPr>
              <w:t>未按照招标文件规定要求签署、盖章的；</w:t>
            </w:r>
            <w:r>
              <w:rPr>
                <w:rFonts w:ascii="宋体" w:hAnsi="宋体" w:eastAsia="宋体" w:cs="宋体"/>
                <w:bCs/>
                <w:color w:val="auto"/>
                <w:sz w:val="24"/>
                <w:szCs w:val="24"/>
                <w:lang w:eastAsia="zh-CN"/>
              </w:rPr>
              <w:t>(2)</w:t>
            </w:r>
            <w:r>
              <w:rPr>
                <w:rFonts w:ascii="宋体" w:hAnsi="宋体" w:eastAsia="宋体" w:cs="宋体"/>
                <w:bCs/>
                <w:color w:val="auto"/>
                <w:sz w:val="24"/>
                <w:szCs w:val="24"/>
              </w:rPr>
              <w:t>投标文件载明的招标项目交付时间超过招标文件规定或未载明招标项目交付时间的；</w:t>
            </w:r>
            <w:r>
              <w:rPr>
                <w:rFonts w:ascii="宋体" w:hAnsi="宋体" w:eastAsia="宋体" w:cs="宋体"/>
                <w:bCs/>
                <w:color w:val="auto"/>
                <w:sz w:val="24"/>
                <w:szCs w:val="24"/>
                <w:lang w:eastAsia="zh-CN"/>
              </w:rPr>
              <w:t>(3)</w:t>
            </w:r>
            <w:r>
              <w:rPr>
                <w:rFonts w:ascii="宋体" w:hAnsi="宋体" w:eastAsia="宋体" w:cs="宋体"/>
                <w:bCs/>
                <w:color w:val="auto"/>
                <w:sz w:val="24"/>
                <w:szCs w:val="24"/>
              </w:rPr>
              <w:t>属于招标文件规定的符合性审查不合格情形</w:t>
            </w:r>
            <w:r>
              <w:rPr>
                <w:rFonts w:ascii="宋体" w:hAnsi="宋体" w:eastAsia="宋体" w:cs="宋体"/>
                <w:bCs/>
                <w:color w:val="auto"/>
                <w:sz w:val="24"/>
                <w:szCs w:val="24"/>
                <w:lang w:eastAsia="zh-CN"/>
              </w:rPr>
              <w:t>；(4)</w:t>
            </w:r>
            <w:r>
              <w:rPr>
                <w:rFonts w:ascii="宋体" w:hAnsi="宋体" w:eastAsia="宋体" w:cs="宋体"/>
                <w:bCs/>
                <w:color w:val="auto"/>
                <w:sz w:val="24"/>
                <w:szCs w:val="24"/>
              </w:rPr>
              <w:t>属于招标文件规定评标委员会应否决其投标的情形；</w:t>
            </w:r>
            <w:r>
              <w:rPr>
                <w:rFonts w:ascii="宋体" w:hAnsi="宋体" w:eastAsia="宋体" w:cs="宋体"/>
                <w:bCs/>
                <w:color w:val="auto"/>
                <w:sz w:val="24"/>
                <w:szCs w:val="24"/>
                <w:lang w:eastAsia="zh-CN"/>
              </w:rPr>
              <w:t>(5)</w:t>
            </w:r>
            <w:r>
              <w:rPr>
                <w:rFonts w:ascii="宋体" w:hAnsi="宋体" w:eastAsia="宋体" w:cs="宋体"/>
                <w:bCs/>
                <w:color w:val="auto"/>
                <w:sz w:val="24"/>
                <w:szCs w:val="24"/>
              </w:rPr>
              <w:t>投标文件的商务部分中出现报价部分的全部或部分的投标报价信息(或组成资料)；</w:t>
            </w:r>
            <w:r>
              <w:rPr>
                <w:rFonts w:ascii="宋体" w:hAnsi="宋体" w:eastAsia="宋体" w:cs="宋体"/>
                <w:bCs/>
                <w:color w:val="auto"/>
                <w:sz w:val="24"/>
                <w:szCs w:val="24"/>
                <w:lang w:eastAsia="zh-CN"/>
              </w:rPr>
              <w:t>(6)</w:t>
            </w:r>
            <w:r>
              <w:rPr>
                <w:rFonts w:ascii="宋体" w:hAnsi="宋体" w:eastAsia="宋体" w:cs="宋体"/>
                <w:bCs/>
                <w:color w:val="auto"/>
                <w:sz w:val="24"/>
                <w:szCs w:val="24"/>
              </w:rPr>
              <w:t>投标文件不满足招标文件“第五章三、商务条件”中任何一项要求的，视为未实质性响应招标文件要求，按无效投标处理。</w:t>
            </w:r>
          </w:p>
        </w:tc>
      </w:tr>
    </w:tbl>
    <w:p w14:paraId="17F22DC1">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附加符合性：无</w:t>
      </w:r>
    </w:p>
    <w:p w14:paraId="26B2DE93">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价格符合性：</w:t>
      </w:r>
    </w:p>
    <w:tbl>
      <w:tblPr>
        <w:tblStyle w:val="15"/>
        <w:tblW w:w="96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7"/>
        <w:gridCol w:w="7068"/>
      </w:tblGrid>
      <w:tr w14:paraId="1702A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trPr>
        <w:tc>
          <w:tcPr>
            <w:tcW w:w="2557" w:type="dxa"/>
            <w:vAlign w:val="center"/>
          </w:tcPr>
          <w:p w14:paraId="5615BB4E">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情形</w:t>
            </w:r>
          </w:p>
        </w:tc>
        <w:tc>
          <w:tcPr>
            <w:tcW w:w="7068" w:type="dxa"/>
            <w:vAlign w:val="center"/>
          </w:tcPr>
          <w:p w14:paraId="4DB06BE3">
            <w:pPr>
              <w:pStyle w:val="20"/>
              <w:spacing w:line="320" w:lineRule="atLeast"/>
              <w:jc w:val="center"/>
              <w:rPr>
                <w:rFonts w:ascii="宋体" w:hAnsi="宋体" w:eastAsia="宋体" w:cs="宋体"/>
                <w:b/>
                <w:color w:val="auto"/>
                <w:sz w:val="24"/>
                <w:szCs w:val="24"/>
              </w:rPr>
            </w:pPr>
            <w:r>
              <w:rPr>
                <w:rFonts w:ascii="宋体" w:hAnsi="宋体" w:eastAsia="宋体" w:cs="宋体"/>
                <w:b/>
                <w:color w:val="auto"/>
                <w:sz w:val="24"/>
                <w:szCs w:val="24"/>
              </w:rPr>
              <w:t>明细</w:t>
            </w:r>
          </w:p>
        </w:tc>
      </w:tr>
      <w:tr w14:paraId="512C5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2557" w:type="dxa"/>
            <w:vAlign w:val="center"/>
          </w:tcPr>
          <w:p w14:paraId="3B63D01A">
            <w:pPr>
              <w:pStyle w:val="20"/>
              <w:spacing w:line="320" w:lineRule="atLeast"/>
              <w:rPr>
                <w:rFonts w:ascii="宋体" w:hAnsi="宋体" w:eastAsia="宋体" w:cs="宋体"/>
                <w:bCs/>
                <w:color w:val="auto"/>
                <w:sz w:val="24"/>
                <w:szCs w:val="24"/>
              </w:rPr>
            </w:pPr>
            <w:r>
              <w:rPr>
                <w:rFonts w:ascii="宋体" w:hAnsi="宋体" w:eastAsia="宋体" w:cs="宋体"/>
                <w:bCs/>
                <w:color w:val="auto"/>
                <w:sz w:val="24"/>
                <w:szCs w:val="24"/>
              </w:rPr>
              <w:t>其他情形</w:t>
            </w:r>
          </w:p>
        </w:tc>
        <w:tc>
          <w:tcPr>
            <w:tcW w:w="7068" w:type="dxa"/>
            <w:vAlign w:val="center"/>
          </w:tcPr>
          <w:p w14:paraId="2814701C">
            <w:pPr>
              <w:pStyle w:val="20"/>
              <w:spacing w:line="320" w:lineRule="atLeast"/>
              <w:rPr>
                <w:rFonts w:ascii="宋体" w:hAnsi="宋体" w:eastAsia="宋体" w:cs="宋体"/>
                <w:bCs/>
                <w:color w:val="auto"/>
                <w:sz w:val="24"/>
                <w:szCs w:val="24"/>
                <w:lang w:eastAsia="zh-CN"/>
              </w:rPr>
            </w:pPr>
            <w:r>
              <w:rPr>
                <w:rFonts w:ascii="宋体" w:hAnsi="宋体" w:eastAsia="宋体" w:cs="宋体"/>
                <w:bCs/>
                <w:color w:val="auto"/>
                <w:sz w:val="24"/>
                <w:szCs w:val="24"/>
                <w:lang w:eastAsia="zh-CN"/>
              </w:rPr>
              <w:t>(1)</w:t>
            </w:r>
            <w:r>
              <w:rPr>
                <w:rFonts w:ascii="宋体" w:hAnsi="宋体" w:eastAsia="宋体" w:cs="宋体"/>
                <w:bCs/>
                <w:color w:val="auto"/>
                <w:sz w:val="24"/>
                <w:szCs w:val="24"/>
              </w:rPr>
              <w:t>不符合招标文件中规定的实质性要求和条件、无效投标条款的；</w:t>
            </w:r>
            <w:r>
              <w:rPr>
                <w:rFonts w:ascii="宋体" w:hAnsi="宋体" w:eastAsia="宋体" w:cs="宋体"/>
                <w:bCs/>
                <w:color w:val="auto"/>
                <w:sz w:val="24"/>
                <w:szCs w:val="24"/>
                <w:lang w:eastAsia="zh-CN"/>
              </w:rPr>
              <w:t>(2)</w:t>
            </w:r>
            <w:r>
              <w:rPr>
                <w:rFonts w:ascii="宋体" w:hAnsi="宋体" w:eastAsia="宋体" w:cs="宋体"/>
                <w:bCs/>
                <w:color w:val="auto"/>
                <w:sz w:val="24"/>
                <w:szCs w:val="24"/>
              </w:rPr>
              <w:t>属于招标文件规定的符合性审查不合格情形；</w:t>
            </w:r>
            <w:r>
              <w:rPr>
                <w:rFonts w:ascii="宋体" w:hAnsi="宋体" w:eastAsia="宋体" w:cs="宋体"/>
                <w:bCs/>
                <w:color w:val="auto"/>
                <w:sz w:val="24"/>
                <w:szCs w:val="24"/>
                <w:lang w:eastAsia="zh-CN"/>
              </w:rPr>
              <w:t>(3)</w:t>
            </w:r>
            <w:r>
              <w:rPr>
                <w:rFonts w:ascii="宋体" w:hAnsi="宋体" w:eastAsia="宋体" w:cs="宋体"/>
                <w:bCs/>
                <w:color w:val="auto"/>
                <w:sz w:val="24"/>
                <w:szCs w:val="24"/>
              </w:rPr>
              <w:t>属于招标文件规定评标委员会应否决其投标的情形</w:t>
            </w:r>
            <w:r>
              <w:rPr>
                <w:rFonts w:ascii="宋体" w:hAnsi="宋体" w:eastAsia="宋体" w:cs="宋体"/>
                <w:bCs/>
                <w:color w:val="auto"/>
                <w:sz w:val="24"/>
                <w:szCs w:val="24"/>
                <w:lang w:eastAsia="zh-CN"/>
              </w:rPr>
              <w:t>；(4)</w:t>
            </w:r>
            <w:r>
              <w:rPr>
                <w:rFonts w:ascii="宋体" w:hAnsi="宋体" w:eastAsia="宋体" w:cs="宋体"/>
                <w:bCs/>
                <w:color w:val="auto"/>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无效投标处理</w:t>
            </w:r>
            <w:r>
              <w:rPr>
                <w:rFonts w:ascii="宋体" w:hAnsi="宋体" w:eastAsia="宋体" w:cs="宋体"/>
                <w:bCs/>
                <w:color w:val="auto"/>
                <w:sz w:val="24"/>
                <w:szCs w:val="24"/>
                <w:lang w:eastAsia="zh-CN"/>
              </w:rPr>
              <w:t>。</w:t>
            </w:r>
          </w:p>
        </w:tc>
      </w:tr>
    </w:tbl>
    <w:p w14:paraId="774C1A60">
      <w:pPr>
        <w:pStyle w:val="20"/>
        <w:spacing w:line="360" w:lineRule="exact"/>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6.3澄清有关问题</w:t>
      </w:r>
    </w:p>
    <w:p w14:paraId="3C916AC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33769DF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C940D2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（3）电子投标文件报价出现前后不一致的，除招标文件另有规定外，按照下列规定修正：</w:t>
      </w:r>
    </w:p>
    <w:p w14:paraId="2CDDB74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①开标（报价）一览表内容与电子投标文件中相应内容不一致的，以开标（报价）一览表为准；</w:t>
      </w:r>
    </w:p>
    <w:p w14:paraId="7307E39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②大写金额和小写金额不一致的，以大写金额为准；</w:t>
      </w:r>
    </w:p>
    <w:p w14:paraId="106081A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③单价金额小数点或百分比有明显错位的，以开标（报价）一览表的总价为准，并修改单价；</w:t>
      </w:r>
    </w:p>
    <w:p w14:paraId="0A0915A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④总价金额与按照单价汇总金额不一致的，以单价金额计算结果为准。</w:t>
      </w:r>
    </w:p>
    <w:p w14:paraId="15C80A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035561C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（4）关于细微偏差</w:t>
      </w:r>
    </w:p>
    <w:p w14:paraId="76165AF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91B270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5906A9B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（5）关于投标描述（即电子投标文件中描述的内容）</w:t>
      </w:r>
    </w:p>
    <w:p w14:paraId="69EC66C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①投标描述前后不一致且不涉及证明材料的：按照本章第6.3条第（1）、（2）款规定执行。</w:t>
      </w:r>
    </w:p>
    <w:p w14:paraId="53FED53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②投标描述与证明材料不一致或多份证明材料之间不一致的：</w:t>
      </w:r>
    </w:p>
    <w:p w14:paraId="33ADE61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a.评标委员会将要求投标人进行书面澄清，并按照不利于投标人的内容进行评标。</w:t>
      </w:r>
    </w:p>
    <w:p w14:paraId="7768E67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487F27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E88D36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6.4比较与评价</w:t>
      </w:r>
    </w:p>
    <w:p w14:paraId="2980E8B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（1）按照本章第7条载明的评标方法和标准，对符合性审查合格的电子投标文件进行比较与评价。</w:t>
      </w:r>
    </w:p>
    <w:p w14:paraId="12599EC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（2）关于相同品牌产品（政府采购服务类项目不适用本条款规定）</w:t>
      </w:r>
    </w:p>
    <w:p w14:paraId="507816C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DD5562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a.招标文件规定的方式：</w:t>
      </w:r>
    </w:p>
    <w:p w14:paraId="1A604BB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随机抽取</w:t>
      </w:r>
    </w:p>
    <w:p w14:paraId="130E4ACF">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b.招标文件未规定的，采取随机抽取方式确定，其他投标无效。</w:t>
      </w:r>
    </w:p>
    <w:p w14:paraId="759CBB8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EF0706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a.招标文件规定的方式：</w:t>
      </w:r>
      <w:r>
        <w:rPr>
          <w:rFonts w:ascii="宋体" w:hAnsi="宋体" w:eastAsia="宋体" w:cs="宋体"/>
          <w:bCs/>
          <w:color w:val="auto"/>
          <w:sz w:val="24"/>
          <w:szCs w:val="24"/>
          <w:highlight w:val="none"/>
          <w:u w:val="singl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38DF674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b.招标文件未规定的，采取随机抽取方式确定，其他同品牌投标人不作为中标候选人。</w:t>
      </w:r>
    </w:p>
    <w:p w14:paraId="5E0450A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③非单一产品采购项目，多家投标人提供的核心产品品牌相同的，按照本章第6.4条第（2）款第①、②规定处理。</w:t>
      </w:r>
    </w:p>
    <w:p w14:paraId="7FE46E2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（3）漏（缺）项</w:t>
      </w:r>
    </w:p>
    <w:p w14:paraId="35FEF4E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①招标文件中要求列入报价的费用（含配置、功能），漏（缺）项的报价视为已经包括在投标总价中。</w:t>
      </w:r>
    </w:p>
    <w:p w14:paraId="4860240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②对多报项及赠送项的价格评标时不予核减，全部进入评标价评议。</w:t>
      </w:r>
    </w:p>
    <w:p w14:paraId="1FB1A179">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6.5推荐中标候选人：详见本章第7.2条规定。</w:t>
      </w:r>
    </w:p>
    <w:p w14:paraId="5D90DD8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6.6编写评标报告</w:t>
      </w:r>
    </w:p>
    <w:p w14:paraId="7A2870C4">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（1）评标报告由评标委员会负责编写。</w:t>
      </w:r>
    </w:p>
    <w:p w14:paraId="7DD545D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（2）评标报告应包括下列内容：</w:t>
      </w:r>
    </w:p>
    <w:p w14:paraId="5E175E4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①招标公告刊登的媒体名称、开标日期和地点；</w:t>
      </w:r>
    </w:p>
    <w:p w14:paraId="480D09C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②投标人名单和评标委员会成员名单；</w:t>
      </w:r>
    </w:p>
    <w:p w14:paraId="2E0F1DF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③评标方法和标准；</w:t>
      </w:r>
    </w:p>
    <w:p w14:paraId="4E772D48">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④开标记录和评标情况及说明，包括无效投标人名单及原因；</w:t>
      </w:r>
    </w:p>
    <w:p w14:paraId="194A5E00">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⑤评标结果，包括中标候选人名单或确定的中标人；</w:t>
      </w:r>
    </w:p>
    <w:p w14:paraId="4CA76B9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⑥其他需要说明的情况，包括但不限于：评标过程中投标人的澄清、说明或补正，评委更换等。</w:t>
      </w:r>
    </w:p>
    <w:p w14:paraId="5E3E50B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F8B2A2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115B682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6.9在评标过程中发现投标人有下列情形之一的，评标委员会应认定其投标无效，并书面报告本项目监督管理部门：</w:t>
      </w:r>
    </w:p>
    <w:p w14:paraId="1E14774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（1）恶意串通（包括但不限于招标文件第三章第9.7条规定情形）；</w:t>
      </w:r>
    </w:p>
    <w:p w14:paraId="18D975A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（2）妨碍其他投标人的竞争行为；</w:t>
      </w:r>
    </w:p>
    <w:p w14:paraId="352F9987">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（3）损害采购人或其他投标人的合法权益。</w:t>
      </w:r>
    </w:p>
    <w:p w14:paraId="61655E1E">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6.10评标过程中，有下列情形之一的，应予废标：</w:t>
      </w:r>
    </w:p>
    <w:p w14:paraId="2CACD795">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（1）符合性审查合格的投标人不足三家的；</w:t>
      </w:r>
    </w:p>
    <w:p w14:paraId="31862AA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（2）有关法律、法规和规章规定废标的情形。</w:t>
      </w:r>
    </w:p>
    <w:p w14:paraId="2A59411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※若废标，则本次采购活动结束， 福建正燊招标代理有限公司 将依法组织后续采购活动（包括但不限于：重新招标、采用其他方式采购等）。</w:t>
      </w:r>
    </w:p>
    <w:p w14:paraId="121C337C">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7、评标方法和标准</w:t>
      </w:r>
    </w:p>
    <w:p w14:paraId="061E7F4B">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7.1评标方法：</w:t>
      </w:r>
    </w:p>
    <w:p w14:paraId="3F23D17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采购包1：综合评分法</w:t>
      </w:r>
    </w:p>
    <w:p w14:paraId="45D07F86">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7.2评标标准</w:t>
      </w:r>
    </w:p>
    <w:p w14:paraId="01E60C82">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采购包1：综合评分法</w:t>
      </w:r>
    </w:p>
    <w:p w14:paraId="6C620024">
      <w:pPr>
        <w:pStyle w:val="20"/>
        <w:spacing w:line="360" w:lineRule="exact"/>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（1）投标文件满足招标文件全部实质性要求，且按照评审因素的量化指标评审得分（即评标总得分）最高的投标人为中标候选人。</w:t>
      </w:r>
    </w:p>
    <w:p w14:paraId="2854F875">
      <w:pPr>
        <w:pStyle w:val="20"/>
        <w:spacing w:line="360" w:lineRule="exact"/>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76D6FDA">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各项评审因素的设置如下：</w:t>
      </w:r>
    </w:p>
    <w:p w14:paraId="35E65E41">
      <w:pPr>
        <w:pStyle w:val="20"/>
        <w:spacing w:line="360" w:lineRule="atLeast"/>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价格项（F1×A1）满分为</w:t>
      </w:r>
      <w:r>
        <w:rPr>
          <w:rFonts w:ascii="宋体" w:hAnsi="宋体" w:eastAsia="宋体" w:cs="宋体"/>
          <w:color w:val="auto"/>
          <w:sz w:val="24"/>
          <w:szCs w:val="24"/>
          <w:lang w:eastAsia="zh-CN"/>
        </w:rPr>
        <w:t>1</w:t>
      </w:r>
      <w:r>
        <w:rPr>
          <w:rFonts w:ascii="宋体" w:hAnsi="宋体" w:eastAsia="宋体" w:cs="宋体"/>
          <w:color w:val="auto"/>
          <w:sz w:val="24"/>
          <w:szCs w:val="24"/>
        </w:rPr>
        <w:t>0.0000分</w:t>
      </w:r>
    </w:p>
    <w:p w14:paraId="5D54A267">
      <w:pPr>
        <w:pStyle w:val="20"/>
        <w:keepNext w:val="0"/>
        <w:keepLines w:val="0"/>
        <w:pageBreakBefore w:val="0"/>
        <w:widowControl/>
        <w:kinsoku/>
        <w:wordWrap/>
        <w:overflowPunct/>
        <w:topLinePunct w:val="0"/>
        <w:autoSpaceDE/>
        <w:autoSpaceDN/>
        <w:bidi w:val="0"/>
        <w:adjustRightInd/>
        <w:snapToGrid/>
        <w:spacing w:line="360" w:lineRule="atLeas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4EA2E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价格扣除的规则如下：</w:t>
      </w:r>
    </w:p>
    <w:tbl>
      <w:tblPr>
        <w:tblStyle w:val="1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86"/>
        <w:gridCol w:w="1986"/>
        <w:gridCol w:w="1855"/>
        <w:gridCol w:w="3873"/>
      </w:tblGrid>
      <w:tr w14:paraId="11FE5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98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F7B8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项目</w:t>
            </w:r>
          </w:p>
        </w:tc>
        <w:tc>
          <w:tcPr>
            <w:tcW w:w="198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2C46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适用对象</w:t>
            </w:r>
          </w:p>
        </w:tc>
        <w:tc>
          <w:tcPr>
            <w:tcW w:w="1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0767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比例</w:t>
            </w:r>
          </w:p>
        </w:tc>
        <w:tc>
          <w:tcPr>
            <w:tcW w:w="38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E511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描述</w:t>
            </w:r>
          </w:p>
        </w:tc>
      </w:tr>
    </w:tbl>
    <w:p w14:paraId="27083B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优先类节能产品、环境标志产品的价格扣除规则如下</w:t>
      </w:r>
    </w:p>
    <w:tbl>
      <w:tblPr>
        <w:tblStyle w:val="1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02"/>
        <w:gridCol w:w="1235"/>
        <w:gridCol w:w="6463"/>
      </w:tblGrid>
      <w:tr w14:paraId="60956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00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5527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项目</w:t>
            </w:r>
          </w:p>
        </w:tc>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4F42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比例</w:t>
            </w:r>
          </w:p>
        </w:tc>
        <w:tc>
          <w:tcPr>
            <w:tcW w:w="64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46B4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方法</w:t>
            </w:r>
          </w:p>
        </w:tc>
      </w:tr>
      <w:tr w14:paraId="4D7F3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00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B050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节能、环境标志产品</w:t>
            </w:r>
          </w:p>
        </w:tc>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31B6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10.00%</w:t>
            </w:r>
          </w:p>
        </w:tc>
        <w:tc>
          <w:tcPr>
            <w:tcW w:w="64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E1C6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firstLine="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r>
              <w:rPr>
                <w:rFonts w:hint="eastAsia" w:ascii="宋体" w:hAnsi="宋体" w:eastAsia="宋体" w:cs="宋体"/>
                <w:b w:val="0"/>
                <w:bCs w:val="0"/>
                <w:i w:val="0"/>
                <w:iCs w:val="0"/>
                <w:caps w:val="0"/>
                <w:color w:val="auto"/>
                <w:spacing w:val="0"/>
                <w:kern w:val="0"/>
                <w:sz w:val="24"/>
                <w:szCs w:val="24"/>
                <w:lang w:val="en-US" w:eastAsia="zh-CN" w:bidi="ar"/>
              </w:rPr>
              <w:t>3、本项目要求的分项报价表可在此处上传。</w:t>
            </w:r>
          </w:p>
        </w:tc>
      </w:tr>
    </w:tbl>
    <w:p w14:paraId="24F83D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其他：无</w:t>
      </w:r>
    </w:p>
    <w:p w14:paraId="64834C20">
      <w:pPr>
        <w:pStyle w:val="20"/>
        <w:spacing w:line="360" w:lineRule="atLeast"/>
        <w:ind w:firstLine="480" w:firstLineChars="200"/>
        <w:jc w:val="both"/>
        <w:rPr>
          <w:rFonts w:ascii="宋体" w:hAnsi="宋体" w:eastAsia="宋体" w:cs="宋体"/>
          <w:color w:val="auto"/>
          <w:sz w:val="24"/>
          <w:szCs w:val="24"/>
        </w:rPr>
      </w:pPr>
      <w:r>
        <w:rPr>
          <w:rFonts w:ascii="宋体" w:hAnsi="宋体" w:eastAsia="宋体" w:cs="宋体"/>
          <w:color w:val="auto"/>
          <w:sz w:val="24"/>
          <w:szCs w:val="24"/>
          <w:highlight w:val="none"/>
        </w:rPr>
        <w:t>技术项</w:t>
      </w:r>
      <w:r>
        <w:rPr>
          <w:rFonts w:ascii="宋体" w:hAnsi="宋体" w:eastAsia="宋体" w:cs="宋体"/>
          <w:color w:val="auto"/>
          <w:sz w:val="24"/>
          <w:szCs w:val="24"/>
        </w:rPr>
        <w:t>（F2×A2）满分为</w:t>
      </w:r>
      <w:r>
        <w:rPr>
          <w:rFonts w:hint="eastAsia" w:ascii="宋体" w:hAnsi="宋体" w:eastAsia="宋体" w:cs="宋体"/>
          <w:color w:val="auto"/>
          <w:sz w:val="24"/>
          <w:szCs w:val="24"/>
          <w:lang w:val="en-US" w:eastAsia="zh-CN"/>
        </w:rPr>
        <w:t>76</w:t>
      </w:r>
      <w:r>
        <w:rPr>
          <w:rFonts w:ascii="宋体" w:hAnsi="宋体" w:eastAsia="宋体" w:cs="宋体"/>
          <w:color w:val="auto"/>
          <w:sz w:val="24"/>
          <w:szCs w:val="24"/>
        </w:rPr>
        <w:t>.0000分</w:t>
      </w:r>
    </w:p>
    <w:tbl>
      <w:tblPr>
        <w:tblStyle w:val="15"/>
        <w:tblW w:w="9525" w:type="dxa"/>
        <w:tblInd w:w="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0"/>
        <w:gridCol w:w="960"/>
        <w:gridCol w:w="940"/>
        <w:gridCol w:w="5885"/>
      </w:tblGrid>
      <w:tr w14:paraId="14CF3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1740" w:type="dxa"/>
            <w:vAlign w:val="center"/>
          </w:tcPr>
          <w:p w14:paraId="7AE7F7F5">
            <w:pPr>
              <w:pStyle w:val="20"/>
              <w:keepNext w:val="0"/>
              <w:keepLines w:val="0"/>
              <w:pageBreakBefore w:val="0"/>
              <w:kinsoku/>
              <w:wordWrap/>
              <w:overflowPunct/>
              <w:topLinePunct w:val="0"/>
              <w:autoSpaceDE/>
              <w:autoSpaceDN/>
              <w:bidi w:val="0"/>
              <w:adjustRightInd/>
              <w:spacing w:line="340" w:lineRule="exact"/>
              <w:jc w:val="center"/>
              <w:textAlignment w:val="auto"/>
              <w:rPr>
                <w:rFonts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960" w:type="dxa"/>
            <w:vAlign w:val="center"/>
          </w:tcPr>
          <w:p w14:paraId="04C28581">
            <w:pPr>
              <w:pStyle w:val="20"/>
              <w:keepNext w:val="0"/>
              <w:keepLines w:val="0"/>
              <w:pageBreakBefore w:val="0"/>
              <w:kinsoku/>
              <w:wordWrap/>
              <w:overflowPunct/>
              <w:topLinePunct w:val="0"/>
              <w:autoSpaceDE/>
              <w:autoSpaceDN/>
              <w:bidi w:val="0"/>
              <w:adjustRightInd/>
              <w:spacing w:line="340" w:lineRule="exact"/>
              <w:jc w:val="center"/>
              <w:textAlignment w:val="auto"/>
              <w:rPr>
                <w:rFonts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940" w:type="dxa"/>
            <w:vAlign w:val="center"/>
          </w:tcPr>
          <w:p w14:paraId="7FF1B50C">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是否客观项</w:t>
            </w:r>
          </w:p>
        </w:tc>
        <w:tc>
          <w:tcPr>
            <w:tcW w:w="5885" w:type="dxa"/>
            <w:vAlign w:val="center"/>
          </w:tcPr>
          <w:p w14:paraId="1377220F">
            <w:pPr>
              <w:pStyle w:val="20"/>
              <w:keepNext w:val="0"/>
              <w:keepLines w:val="0"/>
              <w:pageBreakBefore w:val="0"/>
              <w:kinsoku/>
              <w:wordWrap/>
              <w:overflowPunct/>
              <w:topLinePunct w:val="0"/>
              <w:autoSpaceDE/>
              <w:autoSpaceDN/>
              <w:bidi w:val="0"/>
              <w:adjustRightInd/>
              <w:spacing w:line="340" w:lineRule="exact"/>
              <w:jc w:val="center"/>
              <w:textAlignment w:val="auto"/>
              <w:rPr>
                <w:rFonts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7D533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1740" w:type="dxa"/>
            <w:vAlign w:val="center"/>
          </w:tcPr>
          <w:p w14:paraId="2D1230BB">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1、</w:t>
            </w:r>
            <w:r>
              <w:rPr>
                <w:rFonts w:hint="eastAsia" w:ascii="宋体" w:hAnsi="宋体" w:cs="宋体"/>
                <w:color w:val="auto"/>
                <w:sz w:val="24"/>
                <w:lang w:eastAsia="zh-CN"/>
              </w:rPr>
              <w:t>投标人</w:t>
            </w:r>
            <w:r>
              <w:rPr>
                <w:rFonts w:hint="eastAsia" w:ascii="宋体" w:hAnsi="宋体" w:cs="宋体"/>
                <w:color w:val="auto"/>
                <w:sz w:val="24"/>
              </w:rPr>
              <w:t>服务响应情况</w:t>
            </w:r>
          </w:p>
        </w:tc>
        <w:tc>
          <w:tcPr>
            <w:tcW w:w="960" w:type="dxa"/>
            <w:vAlign w:val="center"/>
          </w:tcPr>
          <w:p w14:paraId="574D2CC6">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lang w:val="en-US" w:eastAsia="zh-CN"/>
              </w:rPr>
              <w:t>27</w:t>
            </w:r>
            <w:r>
              <w:rPr>
                <w:rFonts w:hint="eastAsia" w:ascii="宋体" w:hAnsi="宋体" w:cs="宋体"/>
                <w:color w:val="auto"/>
                <w:kern w:val="0"/>
                <w:sz w:val="24"/>
              </w:rPr>
              <w:t>.00</w:t>
            </w:r>
          </w:p>
        </w:tc>
        <w:tc>
          <w:tcPr>
            <w:tcW w:w="940" w:type="dxa"/>
            <w:vAlign w:val="center"/>
          </w:tcPr>
          <w:p w14:paraId="5023EC99">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是</w:t>
            </w:r>
          </w:p>
        </w:tc>
        <w:tc>
          <w:tcPr>
            <w:tcW w:w="5885" w:type="dxa"/>
            <w:vAlign w:val="center"/>
          </w:tcPr>
          <w:p w14:paraId="40C8A777">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color w:val="auto"/>
                <w:sz w:val="24"/>
              </w:rPr>
            </w:pPr>
            <w:r>
              <w:rPr>
                <w:rFonts w:hint="eastAsia" w:ascii="宋体" w:hAnsi="宋体" w:cs="宋体"/>
                <w:bCs/>
                <w:color w:val="auto"/>
                <w:sz w:val="24"/>
              </w:rPr>
              <w:t>根据各投标人对招标文件第五章招标内容及要求“二、技术和服务要求”的各项要求的响应、承诺情况，完全满足招标文件要求的得</w:t>
            </w:r>
            <w:r>
              <w:rPr>
                <w:rFonts w:hint="eastAsia" w:ascii="宋体" w:hAnsi="宋体" w:cs="宋体"/>
                <w:bCs/>
                <w:color w:val="auto"/>
                <w:sz w:val="24"/>
                <w:lang w:val="en-US" w:eastAsia="zh-CN"/>
              </w:rPr>
              <w:t>27</w:t>
            </w:r>
            <w:r>
              <w:rPr>
                <w:rFonts w:hint="eastAsia" w:ascii="宋体" w:hAnsi="宋体" w:cs="宋体"/>
                <w:bCs/>
                <w:color w:val="auto"/>
                <w:sz w:val="24"/>
              </w:rPr>
              <w:t>分。其中以“★”标示的内容为不允许负偏离的实质性要求，</w:t>
            </w:r>
            <w:r>
              <w:rPr>
                <w:rFonts w:hint="eastAsia" w:ascii="宋体" w:hAnsi="宋体" w:cs="宋体"/>
                <w:bCs/>
                <w:color w:val="auto"/>
                <w:sz w:val="24"/>
                <w:lang w:eastAsia="zh-CN"/>
              </w:rPr>
              <w:t>否则</w:t>
            </w:r>
            <w:r>
              <w:rPr>
                <w:rFonts w:hint="eastAsia" w:ascii="宋体" w:hAnsi="宋体" w:cs="宋体"/>
                <w:bCs/>
                <w:color w:val="auto"/>
                <w:sz w:val="24"/>
                <w:lang w:val="en-US" w:eastAsia="zh-CN"/>
              </w:rPr>
              <w:t>视为</w:t>
            </w:r>
            <w:r>
              <w:rPr>
                <w:rFonts w:hint="eastAsia" w:ascii="宋体" w:hAnsi="宋体" w:cs="宋体"/>
                <w:bCs/>
                <w:color w:val="auto"/>
                <w:sz w:val="24"/>
                <w:lang w:eastAsia="zh-CN"/>
              </w:rPr>
              <w:t>无效</w:t>
            </w:r>
            <w:r>
              <w:rPr>
                <w:rFonts w:hint="eastAsia" w:ascii="宋体" w:hAnsi="宋体" w:cs="宋体"/>
                <w:bCs/>
                <w:color w:val="auto"/>
                <w:sz w:val="24"/>
                <w:lang w:val="en-US" w:eastAsia="zh-CN"/>
              </w:rPr>
              <w:t>投</w:t>
            </w:r>
            <w:r>
              <w:rPr>
                <w:rFonts w:hint="eastAsia" w:ascii="宋体" w:hAnsi="宋体" w:cs="宋体"/>
                <w:bCs/>
                <w:color w:val="auto"/>
                <w:sz w:val="24"/>
                <w:lang w:eastAsia="zh-CN"/>
              </w:rPr>
              <w:t>标</w:t>
            </w:r>
            <w:r>
              <w:rPr>
                <w:rFonts w:hint="eastAsia" w:ascii="宋体" w:hAnsi="宋体" w:cs="宋体"/>
                <w:bCs/>
                <w:color w:val="auto"/>
                <w:sz w:val="24"/>
              </w:rPr>
              <w:t>；未标注“★”的技术参数，每负偏离一项扣</w:t>
            </w:r>
            <w:r>
              <w:rPr>
                <w:rFonts w:hint="eastAsia" w:ascii="宋体" w:hAnsi="宋体" w:cs="宋体"/>
                <w:bCs/>
                <w:color w:val="auto"/>
                <w:sz w:val="24"/>
                <w:lang w:val="en-US" w:eastAsia="zh-CN"/>
              </w:rPr>
              <w:t>1</w:t>
            </w:r>
            <w:r>
              <w:rPr>
                <w:rFonts w:hint="eastAsia" w:ascii="宋体" w:hAnsi="宋体" w:cs="宋体"/>
                <w:bCs/>
                <w:color w:val="auto"/>
                <w:sz w:val="24"/>
              </w:rPr>
              <w:t>分（共计</w:t>
            </w:r>
            <w:r>
              <w:rPr>
                <w:rFonts w:hint="eastAsia" w:ascii="宋体" w:hAnsi="宋体" w:cs="宋体"/>
                <w:bCs/>
                <w:color w:val="auto"/>
                <w:sz w:val="24"/>
                <w:lang w:val="en-US" w:eastAsia="zh-CN"/>
              </w:rPr>
              <w:t>27</w:t>
            </w:r>
            <w:r>
              <w:rPr>
                <w:rFonts w:hint="eastAsia" w:ascii="宋体" w:hAnsi="宋体" w:cs="宋体"/>
                <w:bCs/>
                <w:color w:val="auto"/>
                <w:sz w:val="24"/>
              </w:rPr>
              <w:t>项），扣完为止，正偏离不加分。注：投标人必须根据该评审内容，对照招标文件的要求逐项进行应答，如实说明正负情况，否则有可能做出不利于投标人的评判（负偏离）。</w:t>
            </w:r>
          </w:p>
        </w:tc>
      </w:tr>
      <w:tr w14:paraId="38FC1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0" w:type="dxa"/>
            <w:vAlign w:val="center"/>
          </w:tcPr>
          <w:p w14:paraId="7BF66644">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sz w:val="24"/>
              </w:rPr>
            </w:pPr>
            <w:r>
              <w:rPr>
                <w:rFonts w:ascii="宋体" w:hAnsi="宋体" w:cs="宋体"/>
                <w:color w:val="auto"/>
                <w:kern w:val="0"/>
                <w:sz w:val="24"/>
              </w:rPr>
              <w:t>2</w:t>
            </w:r>
            <w:r>
              <w:rPr>
                <w:rFonts w:hint="eastAsia" w:ascii="宋体" w:hAnsi="宋体" w:cs="宋体"/>
                <w:color w:val="auto"/>
                <w:kern w:val="0"/>
                <w:sz w:val="24"/>
              </w:rPr>
              <w:t>、</w:t>
            </w:r>
            <w:r>
              <w:rPr>
                <w:rFonts w:ascii="宋体" w:hAnsi="宋体" w:eastAsia="宋体" w:cs="宋体"/>
                <w:color w:val="auto"/>
                <w:kern w:val="0"/>
                <w:sz w:val="24"/>
                <w:szCs w:val="24"/>
                <w:lang w:val="en-US" w:eastAsia="zh-CN" w:bidi="ar"/>
              </w:rPr>
              <w:t>管理制度</w:t>
            </w:r>
          </w:p>
        </w:tc>
        <w:tc>
          <w:tcPr>
            <w:tcW w:w="960" w:type="dxa"/>
            <w:vAlign w:val="center"/>
          </w:tcPr>
          <w:p w14:paraId="0B00AEC9">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3.00</w:t>
            </w:r>
          </w:p>
        </w:tc>
        <w:tc>
          <w:tcPr>
            <w:tcW w:w="940" w:type="dxa"/>
            <w:vAlign w:val="center"/>
          </w:tcPr>
          <w:p w14:paraId="3682790E">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center"/>
          </w:tcPr>
          <w:p w14:paraId="5E062CF5">
            <w:pPr>
              <w:keepNext w:val="0"/>
              <w:keepLines w:val="0"/>
              <w:pageBreakBefore w:val="0"/>
              <w:kinsoku/>
              <w:wordWrap/>
              <w:overflowPunct/>
              <w:topLinePunct w:val="0"/>
              <w:autoSpaceDE/>
              <w:autoSpaceDN/>
              <w:bidi w:val="0"/>
              <w:adjustRightInd/>
              <w:spacing w:line="340" w:lineRule="exact"/>
              <w:ind w:firstLine="0" w:firstLineChars="0"/>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lang w:bidi="ar"/>
              </w:rPr>
              <w:t>根据各投标人针对本项目提供的</w:t>
            </w:r>
            <w:r>
              <w:rPr>
                <w:rFonts w:ascii="宋体" w:hAnsi="宋体" w:eastAsia="宋体" w:cs="宋体"/>
                <w:color w:val="auto"/>
                <w:sz w:val="24"/>
                <w:szCs w:val="24"/>
              </w:rPr>
              <w:t>绿化养护管理制度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w:t>
            </w:r>
            <w:r>
              <w:rPr>
                <w:rFonts w:ascii="宋体" w:hAnsi="宋体" w:eastAsia="宋体" w:cs="宋体"/>
                <w:color w:val="auto"/>
                <w:sz w:val="24"/>
                <w:szCs w:val="24"/>
                <w:highlight w:val="none"/>
              </w:rPr>
              <w:t>管理制度的制定情况</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监督检查机制等方面</w:t>
            </w:r>
            <w:r>
              <w:rPr>
                <w:rFonts w:hint="eastAsia" w:ascii="宋体" w:hAnsi="宋体" w:eastAsia="宋体" w:cs="宋体"/>
                <w:color w:val="auto"/>
                <w:sz w:val="24"/>
                <w:szCs w:val="24"/>
                <w:highlight w:val="none"/>
                <w:lang w:eastAsia="zh-CN"/>
              </w:rPr>
              <w:t>）</w:t>
            </w:r>
            <w:r>
              <w:rPr>
                <w:rFonts w:hint="eastAsia" w:ascii="宋体" w:hAnsi="宋体" w:cs="宋体"/>
                <w:color w:val="auto"/>
                <w:kern w:val="0"/>
                <w:sz w:val="24"/>
                <w:highlight w:val="none"/>
                <w:lang w:bidi="ar"/>
              </w:rPr>
              <w:t>，由评</w:t>
            </w:r>
            <w:r>
              <w:rPr>
                <w:rFonts w:hint="eastAsia" w:ascii="宋体" w:hAnsi="宋体" w:cs="宋体"/>
                <w:color w:val="auto"/>
                <w:kern w:val="0"/>
                <w:sz w:val="24"/>
                <w:lang w:bidi="ar"/>
              </w:rPr>
              <w:t>委进行评议：</w:t>
            </w:r>
            <w:r>
              <w:rPr>
                <w:rFonts w:hint="eastAsia" w:ascii="宋体" w:hAnsi="宋体" w:cs="宋体"/>
                <w:color w:val="auto"/>
                <w:kern w:val="0"/>
                <w:sz w:val="24"/>
              </w:rPr>
              <w:t>方案内容能够完整、清晰阐述项目实施基础方案内容同时在确保方案实施的基础上增加有利于项目执行内容的得3分；方案能够内容完整、清晰的阐述基本要求且符合项目实际操作的得2.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lang w:val="en-US" w:eastAsia="zh-CN"/>
              </w:rPr>
              <w:t>9</w:t>
            </w:r>
            <w:r>
              <w:rPr>
                <w:rFonts w:hint="eastAsia" w:ascii="宋体" w:hAnsi="宋体" w:cs="宋体"/>
                <w:color w:val="auto"/>
                <w:kern w:val="0"/>
                <w:sz w:val="24"/>
              </w:rPr>
              <w:t>分；有提供方案，但阐述内容未完整响应基本要求的得2.</w:t>
            </w:r>
            <w:r>
              <w:rPr>
                <w:rFonts w:hint="eastAsia" w:ascii="宋体" w:hAnsi="宋体" w:cs="宋体"/>
                <w:color w:val="auto"/>
                <w:kern w:val="0"/>
                <w:sz w:val="24"/>
                <w:lang w:val="en-US" w:eastAsia="zh-CN"/>
              </w:rPr>
              <w:t>8</w:t>
            </w:r>
            <w:r>
              <w:rPr>
                <w:rFonts w:hint="eastAsia" w:ascii="宋体" w:hAnsi="宋体" w:cs="宋体"/>
                <w:color w:val="auto"/>
                <w:kern w:val="0"/>
                <w:sz w:val="24"/>
              </w:rPr>
              <w:t>分；未提供或方案与项目不符的不得分。</w:t>
            </w:r>
          </w:p>
        </w:tc>
      </w:tr>
      <w:tr w14:paraId="4DC19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0" w:type="dxa"/>
            <w:vAlign w:val="center"/>
          </w:tcPr>
          <w:p w14:paraId="4DAE8084">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、草花播种</w:t>
            </w:r>
            <w:r>
              <w:rPr>
                <w:rFonts w:hint="eastAsia" w:ascii="宋体" w:hAnsi="宋体" w:cs="宋体"/>
                <w:color w:val="auto"/>
                <w:kern w:val="0"/>
                <w:sz w:val="24"/>
                <w:lang w:eastAsia="zh-CN"/>
              </w:rPr>
              <w:t>及养护技术方案</w:t>
            </w:r>
          </w:p>
        </w:tc>
        <w:tc>
          <w:tcPr>
            <w:tcW w:w="960" w:type="dxa"/>
            <w:vAlign w:val="center"/>
          </w:tcPr>
          <w:p w14:paraId="39569C73">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3.00</w:t>
            </w:r>
          </w:p>
        </w:tc>
        <w:tc>
          <w:tcPr>
            <w:tcW w:w="940" w:type="dxa"/>
            <w:vAlign w:val="center"/>
          </w:tcPr>
          <w:p w14:paraId="121F0D50">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lang w:eastAsia="zh-CN"/>
              </w:rPr>
              <w:t>否</w:t>
            </w:r>
          </w:p>
        </w:tc>
        <w:tc>
          <w:tcPr>
            <w:tcW w:w="5885" w:type="dxa"/>
            <w:vAlign w:val="center"/>
          </w:tcPr>
          <w:p w14:paraId="2513F5CC">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color w:val="auto"/>
                <w:sz w:val="24"/>
              </w:rPr>
            </w:pPr>
            <w:r>
              <w:rPr>
                <w:rFonts w:hint="eastAsia" w:ascii="宋体" w:hAnsi="宋体" w:cs="宋体"/>
                <w:color w:val="auto"/>
                <w:sz w:val="24"/>
              </w:rPr>
              <w:t>根据各投标人承诺提供的</w:t>
            </w:r>
            <w:r>
              <w:rPr>
                <w:rFonts w:hint="eastAsia" w:ascii="宋体" w:hAnsi="宋体" w:cs="宋体"/>
                <w:color w:val="auto"/>
                <w:sz w:val="24"/>
                <w:highlight w:val="none"/>
              </w:rPr>
              <w:t>每年 “春节”、“5.18海交会”前后、“国庆节”三个节点制定一年生草花品种的播种计划，以及每年两茬其他时段的多年生草花品种播种计划（</w:t>
            </w:r>
            <w:r>
              <w:rPr>
                <w:rFonts w:hint="eastAsia" w:ascii="宋体" w:hAnsi="宋体" w:cs="宋体"/>
                <w:color w:val="auto"/>
                <w:kern w:val="0"/>
                <w:sz w:val="24"/>
                <w:highlight w:val="none"/>
                <w:lang w:val="en-US" w:eastAsia="zh-CN" w:bidi="ar"/>
              </w:rPr>
              <w:t>包括但不限于</w:t>
            </w:r>
            <w:r>
              <w:rPr>
                <w:rFonts w:hint="eastAsia" w:ascii="宋体" w:hAnsi="宋体" w:cs="宋体"/>
                <w:color w:val="auto"/>
                <w:sz w:val="24"/>
                <w:highlight w:val="none"/>
              </w:rPr>
              <w:t>草花品种的选择、针对本地气候环境、草花生长习性和病虫害防治所提供的的养护技术方案、花田土壤的改良方案等）</w:t>
            </w:r>
            <w:r>
              <w:rPr>
                <w:rFonts w:hint="eastAsia" w:ascii="宋体" w:hAnsi="宋体" w:cs="宋体"/>
                <w:color w:val="auto"/>
                <w:kern w:val="0"/>
                <w:sz w:val="24"/>
                <w:highlight w:val="none"/>
                <w:lang w:bidi="ar"/>
              </w:rPr>
              <w:t>，由评委进行评议：由评委进行评议：</w:t>
            </w:r>
            <w:r>
              <w:rPr>
                <w:rFonts w:hint="eastAsia" w:ascii="宋体" w:hAnsi="宋体" w:cs="宋体"/>
                <w:color w:val="auto"/>
                <w:kern w:val="0"/>
                <w:sz w:val="24"/>
                <w:highlight w:val="none"/>
              </w:rPr>
              <w:t>方案内容能够完整、清晰阐述项目实施基础方案内容同时在确保方案实施的基础上增加有利于项目执行内容的</w:t>
            </w:r>
            <w:r>
              <w:rPr>
                <w:rFonts w:hint="eastAsia" w:ascii="宋体" w:hAnsi="宋体" w:cs="宋体"/>
                <w:color w:val="auto"/>
                <w:kern w:val="0"/>
                <w:sz w:val="24"/>
                <w:highlight w:val="none"/>
                <w:lang w:eastAsia="zh-CN"/>
              </w:rPr>
              <w:t>，</w:t>
            </w:r>
            <w:r>
              <w:rPr>
                <w:rFonts w:ascii="宋体" w:hAnsi="宋体" w:eastAsia="宋体" w:cs="宋体"/>
                <w:color w:val="auto"/>
                <w:kern w:val="0"/>
                <w:sz w:val="24"/>
                <w:szCs w:val="24"/>
                <w:highlight w:val="none"/>
                <w:lang w:val="en-US" w:eastAsia="zh-CN" w:bidi="ar"/>
              </w:rPr>
              <w:t>推荐的一年生草花品种数量</w:t>
            </w:r>
            <w:r>
              <w:rPr>
                <w:rFonts w:hint="eastAsia" w:ascii="宋体" w:hAnsi="宋体" w:cs="宋体"/>
                <w:color w:val="auto"/>
                <w:kern w:val="0"/>
                <w:sz w:val="24"/>
                <w:szCs w:val="24"/>
                <w:highlight w:val="none"/>
                <w:lang w:val="en-US" w:eastAsia="zh-CN" w:bidi="ar"/>
              </w:rPr>
              <w:t>每节点不少于4种</w:t>
            </w:r>
            <w:r>
              <w:rPr>
                <w:rFonts w:ascii="宋体" w:hAnsi="宋体" w:eastAsia="宋体" w:cs="宋体"/>
                <w:color w:val="auto"/>
                <w:kern w:val="0"/>
                <w:sz w:val="24"/>
                <w:szCs w:val="24"/>
                <w:highlight w:val="none"/>
                <w:lang w:val="en-US" w:eastAsia="zh-CN" w:bidi="ar"/>
              </w:rPr>
              <w:t>，多年生草花品种数量</w:t>
            </w:r>
            <w:r>
              <w:rPr>
                <w:rFonts w:hint="eastAsia" w:ascii="宋体" w:hAnsi="宋体" w:cs="宋体"/>
                <w:color w:val="auto"/>
                <w:kern w:val="0"/>
                <w:sz w:val="24"/>
                <w:szCs w:val="24"/>
                <w:highlight w:val="none"/>
                <w:lang w:val="en-US" w:eastAsia="zh-CN" w:bidi="ar"/>
              </w:rPr>
              <w:t>每节点不少于3种</w:t>
            </w:r>
            <w:r>
              <w:rPr>
                <w:rFonts w:ascii="宋体" w:hAnsi="宋体" w:eastAsia="宋体" w:cs="宋体"/>
                <w:color w:val="auto"/>
                <w:kern w:val="0"/>
                <w:sz w:val="24"/>
                <w:szCs w:val="24"/>
                <w:highlight w:val="none"/>
                <w:lang w:val="en-US" w:eastAsia="zh-CN" w:bidi="ar"/>
              </w:rPr>
              <w:t>的</w:t>
            </w:r>
            <w:r>
              <w:rPr>
                <w:rFonts w:hint="eastAsia" w:ascii="宋体" w:hAnsi="宋体" w:cs="宋体"/>
                <w:color w:val="auto"/>
                <w:kern w:val="0"/>
                <w:sz w:val="24"/>
                <w:highlight w:val="none"/>
              </w:rPr>
              <w:t>得3分；方案能够内容完整、清晰的阐述基本要求且符合项目实际操作的</w:t>
            </w:r>
            <w:r>
              <w:rPr>
                <w:rFonts w:hint="eastAsia" w:ascii="宋体" w:hAnsi="宋体" w:cs="宋体"/>
                <w:color w:val="auto"/>
                <w:kern w:val="0"/>
                <w:sz w:val="24"/>
                <w:highlight w:val="none"/>
                <w:lang w:eastAsia="zh-CN"/>
              </w:rPr>
              <w:t>，</w:t>
            </w:r>
            <w:r>
              <w:rPr>
                <w:rFonts w:ascii="宋体" w:hAnsi="宋体" w:eastAsia="宋体" w:cs="宋体"/>
                <w:color w:val="auto"/>
                <w:kern w:val="0"/>
                <w:sz w:val="24"/>
                <w:szCs w:val="24"/>
                <w:highlight w:val="none"/>
                <w:lang w:val="en-US" w:eastAsia="zh-CN" w:bidi="ar"/>
              </w:rPr>
              <w:t>推荐的一年生草花品种数量</w:t>
            </w:r>
            <w:r>
              <w:rPr>
                <w:rFonts w:hint="eastAsia" w:ascii="宋体" w:hAnsi="宋体" w:cs="宋体"/>
                <w:color w:val="auto"/>
                <w:kern w:val="0"/>
                <w:sz w:val="24"/>
                <w:szCs w:val="24"/>
                <w:highlight w:val="none"/>
                <w:lang w:val="en-US" w:eastAsia="zh-CN" w:bidi="ar"/>
              </w:rPr>
              <w:t>每节点不少于3种</w:t>
            </w:r>
            <w:r>
              <w:rPr>
                <w:rFonts w:ascii="宋体" w:hAnsi="宋体" w:eastAsia="宋体" w:cs="宋体"/>
                <w:color w:val="auto"/>
                <w:kern w:val="0"/>
                <w:sz w:val="24"/>
                <w:szCs w:val="24"/>
                <w:highlight w:val="none"/>
                <w:lang w:val="en-US" w:eastAsia="zh-CN" w:bidi="ar"/>
              </w:rPr>
              <w:t>，多年生草花品种数量</w:t>
            </w:r>
            <w:r>
              <w:rPr>
                <w:rFonts w:hint="eastAsia" w:ascii="宋体" w:hAnsi="宋体" w:cs="宋体"/>
                <w:color w:val="auto"/>
                <w:kern w:val="0"/>
                <w:sz w:val="24"/>
                <w:szCs w:val="24"/>
                <w:highlight w:val="none"/>
                <w:lang w:val="en-US" w:eastAsia="zh-CN" w:bidi="ar"/>
              </w:rPr>
              <w:t>每节点不少于2种</w:t>
            </w:r>
            <w:r>
              <w:rPr>
                <w:rFonts w:ascii="宋体" w:hAnsi="宋体" w:eastAsia="宋体" w:cs="宋体"/>
                <w:color w:val="auto"/>
                <w:kern w:val="0"/>
                <w:sz w:val="24"/>
                <w:szCs w:val="24"/>
                <w:highlight w:val="none"/>
                <w:lang w:val="en-US" w:eastAsia="zh-CN" w:bidi="ar"/>
              </w:rPr>
              <w:t>的</w:t>
            </w:r>
            <w:r>
              <w:rPr>
                <w:rFonts w:hint="eastAsia" w:ascii="宋体" w:hAnsi="宋体" w:cs="宋体"/>
                <w:color w:val="auto"/>
                <w:kern w:val="0"/>
                <w:sz w:val="24"/>
                <w:highlight w:val="none"/>
              </w:rPr>
              <w:t>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分；有提供方案，但阐述内容未完整响应基本要求的</w:t>
            </w:r>
            <w:r>
              <w:rPr>
                <w:rFonts w:hint="eastAsia" w:ascii="宋体" w:hAnsi="宋体" w:cs="宋体"/>
                <w:color w:val="auto"/>
                <w:kern w:val="0"/>
                <w:sz w:val="24"/>
                <w:highlight w:val="none"/>
                <w:lang w:eastAsia="zh-CN"/>
              </w:rPr>
              <w:t>，</w:t>
            </w:r>
            <w:r>
              <w:rPr>
                <w:rFonts w:ascii="宋体" w:hAnsi="宋体" w:eastAsia="宋体" w:cs="宋体"/>
                <w:color w:val="auto"/>
                <w:kern w:val="0"/>
                <w:sz w:val="24"/>
                <w:szCs w:val="24"/>
                <w:highlight w:val="none"/>
                <w:lang w:val="en-US" w:eastAsia="zh-CN" w:bidi="ar"/>
              </w:rPr>
              <w:t>推荐的一年生草花品种数量</w:t>
            </w:r>
            <w:r>
              <w:rPr>
                <w:rFonts w:hint="eastAsia" w:ascii="宋体" w:hAnsi="宋体" w:cs="宋体"/>
                <w:color w:val="auto"/>
                <w:kern w:val="0"/>
                <w:sz w:val="24"/>
                <w:szCs w:val="24"/>
                <w:highlight w:val="none"/>
                <w:lang w:val="en-US" w:eastAsia="zh-CN" w:bidi="ar"/>
              </w:rPr>
              <w:t>每节点不少于2种，</w:t>
            </w:r>
            <w:r>
              <w:rPr>
                <w:rFonts w:ascii="宋体" w:hAnsi="宋体" w:eastAsia="宋体" w:cs="宋体"/>
                <w:color w:val="auto"/>
                <w:kern w:val="0"/>
                <w:sz w:val="24"/>
                <w:szCs w:val="24"/>
                <w:highlight w:val="none"/>
                <w:lang w:val="en-US" w:eastAsia="zh-CN" w:bidi="ar"/>
              </w:rPr>
              <w:t>多年生草花品种数量</w:t>
            </w:r>
            <w:r>
              <w:rPr>
                <w:rFonts w:hint="eastAsia" w:ascii="宋体" w:hAnsi="宋体" w:cs="宋体"/>
                <w:color w:val="auto"/>
                <w:kern w:val="0"/>
                <w:sz w:val="24"/>
                <w:szCs w:val="24"/>
                <w:highlight w:val="none"/>
                <w:lang w:val="en-US" w:eastAsia="zh-CN" w:bidi="ar"/>
              </w:rPr>
              <w:t>每节点不少于1种</w:t>
            </w:r>
            <w:r>
              <w:rPr>
                <w:rFonts w:hint="eastAsia" w:ascii="宋体" w:hAnsi="宋体" w:eastAsia="宋体" w:cs="宋体"/>
                <w:color w:val="auto"/>
                <w:kern w:val="0"/>
                <w:sz w:val="24"/>
                <w:szCs w:val="24"/>
                <w:highlight w:val="none"/>
                <w:lang w:val="en-US" w:eastAsia="zh-CN" w:bidi="ar"/>
              </w:rPr>
              <w:t>的</w:t>
            </w:r>
            <w:r>
              <w:rPr>
                <w:rFonts w:hint="eastAsia" w:ascii="宋体" w:hAnsi="宋体" w:cs="宋体"/>
                <w:color w:val="auto"/>
                <w:kern w:val="0"/>
                <w:sz w:val="24"/>
                <w:highlight w:val="none"/>
              </w:rPr>
              <w:t>得2.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分；未提供或方案与项目不符的不得分。</w:t>
            </w:r>
          </w:p>
        </w:tc>
      </w:tr>
      <w:tr w14:paraId="6DD2E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40" w:type="dxa"/>
            <w:vAlign w:val="center"/>
          </w:tcPr>
          <w:p w14:paraId="6F8A8FC2">
            <w:pPr>
              <w:keepNext w:val="0"/>
              <w:keepLines w:val="0"/>
              <w:pageBreakBefore w:val="0"/>
              <w:widowControl/>
              <w:kinsoku/>
              <w:wordWrap/>
              <w:overflowPunct/>
              <w:topLinePunct w:val="0"/>
              <w:autoSpaceDE/>
              <w:autoSpaceDN/>
              <w:bidi w:val="0"/>
              <w:adjustRightInd/>
              <w:spacing w:line="340" w:lineRule="exact"/>
              <w:textAlignment w:val="auto"/>
              <w:rPr>
                <w:rFonts w:hint="eastAsia" w:ascii="宋体" w:hAnsi="宋体" w:eastAsia="宋体" w:cs="宋体"/>
                <w:color w:val="auto"/>
                <w:sz w:val="24"/>
                <w:lang w:val="en-US"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w:t>
            </w:r>
            <w:r>
              <w:rPr>
                <w:rFonts w:hint="eastAsia" w:ascii="宋体" w:hAnsi="宋体" w:cs="宋体"/>
                <w:color w:val="auto"/>
                <w:kern w:val="0"/>
                <w:sz w:val="24"/>
                <w:lang w:bidi="ar"/>
              </w:rPr>
              <w:t>应急保障方案</w:t>
            </w:r>
          </w:p>
        </w:tc>
        <w:tc>
          <w:tcPr>
            <w:tcW w:w="960" w:type="dxa"/>
            <w:vAlign w:val="center"/>
          </w:tcPr>
          <w:p w14:paraId="372F4193">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3.00</w:t>
            </w:r>
          </w:p>
        </w:tc>
        <w:tc>
          <w:tcPr>
            <w:tcW w:w="940" w:type="dxa"/>
            <w:vAlign w:val="center"/>
          </w:tcPr>
          <w:p w14:paraId="0E099BE6">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top"/>
          </w:tcPr>
          <w:p w14:paraId="2E2295DF">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eastAsia="宋体" w:asciiTheme="minorEastAsia" w:hAnsiTheme="minorEastAsia" w:cstheme="minorEastAsia"/>
                <w:color w:val="auto"/>
                <w:sz w:val="24"/>
                <w:lang w:eastAsia="zh-CN"/>
              </w:rPr>
            </w:pPr>
            <w:r>
              <w:rPr>
                <w:rFonts w:hint="eastAsia" w:ascii="宋体" w:hAnsi="宋体" w:cs="宋体"/>
                <w:color w:val="auto"/>
                <w:kern w:val="0"/>
                <w:sz w:val="24"/>
                <w:lang w:bidi="ar"/>
              </w:rPr>
              <w:t>根据各投标人针对本项目提供的自然灾害、突发事件应急保障方案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包括但不限于①防台风、防暴雨、抗旱、防寒、抗洪应急预案等；②</w:t>
            </w:r>
            <w:r>
              <w:rPr>
                <w:rFonts w:hint="eastAsia" w:ascii="宋体" w:hAnsi="宋体" w:eastAsia="宋体" w:cs="宋体"/>
                <w:color w:val="auto"/>
                <w:sz w:val="24"/>
                <w:szCs w:val="24"/>
                <w:lang w:val="en-US" w:eastAsia="zh-CN"/>
              </w:rPr>
              <w:t>突发保障任务、突发问题、节假日应急保障的响应时间和保障措施等</w:t>
            </w:r>
            <w:r>
              <w:rPr>
                <w:rFonts w:hint="eastAsia" w:ascii="宋体" w:hAnsi="宋体" w:eastAsia="宋体" w:cs="宋体"/>
                <w:color w:val="auto"/>
                <w:sz w:val="24"/>
                <w:szCs w:val="24"/>
                <w:lang w:eastAsia="zh-CN"/>
              </w:rPr>
              <w:t>）</w:t>
            </w:r>
            <w:r>
              <w:rPr>
                <w:rFonts w:hint="eastAsia" w:ascii="宋体" w:hAnsi="宋体" w:cs="宋体"/>
                <w:color w:val="auto"/>
                <w:kern w:val="0"/>
                <w:sz w:val="24"/>
                <w:lang w:bidi="ar"/>
              </w:rPr>
              <w:t>，由评委进行评议：</w:t>
            </w:r>
            <w:r>
              <w:rPr>
                <w:rFonts w:hint="eastAsia" w:ascii="宋体" w:hAnsi="宋体" w:cs="宋体"/>
                <w:color w:val="auto"/>
                <w:kern w:val="0"/>
                <w:sz w:val="24"/>
                <w:lang w:eastAsia="zh-CN"/>
              </w:rPr>
              <w:t>方案内容能够完整、清晰阐述项目实施基础方案内容同时在确保方案实施的基础上增加有利于项目执行内容的得3分；方案能够内容完整、清晰的阐述基本要求且符合项目实际操作的得2.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分；有提供方案，但阐述内容未完整响应基本要求的得</w:t>
            </w:r>
            <w:r>
              <w:rPr>
                <w:rFonts w:hint="eastAsia" w:ascii="宋体" w:hAnsi="宋体" w:cs="宋体"/>
                <w:color w:val="auto"/>
                <w:kern w:val="0"/>
                <w:sz w:val="24"/>
                <w:lang w:val="en-US" w:eastAsia="zh-CN"/>
              </w:rPr>
              <w:t>2.8</w:t>
            </w:r>
            <w:r>
              <w:rPr>
                <w:rFonts w:hint="eastAsia" w:ascii="宋体" w:hAnsi="宋体" w:cs="宋体"/>
                <w:color w:val="auto"/>
                <w:kern w:val="0"/>
                <w:sz w:val="24"/>
                <w:lang w:eastAsia="zh-CN"/>
              </w:rPr>
              <w:t>分；未提供或方案与项目不符的不得分。</w:t>
            </w:r>
          </w:p>
        </w:tc>
      </w:tr>
      <w:tr w14:paraId="633DD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1" w:hRule="atLeast"/>
        </w:trPr>
        <w:tc>
          <w:tcPr>
            <w:tcW w:w="1740" w:type="dxa"/>
            <w:vAlign w:val="center"/>
          </w:tcPr>
          <w:p w14:paraId="6C249397">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、病虫害防治专项预案</w:t>
            </w:r>
          </w:p>
        </w:tc>
        <w:tc>
          <w:tcPr>
            <w:tcW w:w="960" w:type="dxa"/>
            <w:vAlign w:val="center"/>
          </w:tcPr>
          <w:p w14:paraId="109F2ED7">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olor w:val="auto"/>
                <w:sz w:val="24"/>
              </w:rPr>
            </w:pPr>
            <w:r>
              <w:rPr>
                <w:rFonts w:hint="eastAsia" w:ascii="宋体" w:hAnsi="宋体" w:cs="宋体"/>
                <w:color w:val="auto"/>
                <w:kern w:val="0"/>
                <w:sz w:val="24"/>
              </w:rPr>
              <w:t>3.00</w:t>
            </w:r>
          </w:p>
        </w:tc>
        <w:tc>
          <w:tcPr>
            <w:tcW w:w="940" w:type="dxa"/>
            <w:vAlign w:val="center"/>
          </w:tcPr>
          <w:p w14:paraId="189B1C50">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center"/>
          </w:tcPr>
          <w:p w14:paraId="06AA3EEF">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s="仿宋_GB2312"/>
                <w:color w:val="auto"/>
                <w:sz w:val="24"/>
                <w:lang w:eastAsia="zh-CN"/>
              </w:rPr>
            </w:pPr>
            <w:r>
              <w:rPr>
                <w:rFonts w:hint="eastAsia" w:ascii="宋体" w:hAnsi="宋体" w:cs="宋体"/>
                <w:color w:val="auto"/>
                <w:kern w:val="0"/>
                <w:sz w:val="24"/>
                <w:lang w:bidi="ar"/>
              </w:rPr>
              <w:t>根据各投标人针对本项目提供的病虫害防治及有害入侵物种防治专项预案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lang w:val="en-US" w:eastAsia="zh-CN"/>
              </w:rPr>
              <w:t>病虫害防治各个季节注意事项、苗木病虫害的控制、防治方法等</w:t>
            </w:r>
            <w:r>
              <w:rPr>
                <w:rFonts w:hint="eastAsia" w:ascii="宋体" w:hAnsi="宋体" w:eastAsia="宋体" w:cs="宋体"/>
                <w:color w:val="auto"/>
                <w:sz w:val="24"/>
                <w:szCs w:val="24"/>
                <w:lang w:eastAsia="zh-CN"/>
              </w:rPr>
              <w:t>）</w:t>
            </w:r>
            <w:r>
              <w:rPr>
                <w:rFonts w:hint="eastAsia" w:ascii="宋体" w:hAnsi="宋体" w:cs="宋体"/>
                <w:color w:val="auto"/>
                <w:kern w:val="0"/>
                <w:sz w:val="24"/>
                <w:lang w:bidi="ar"/>
              </w:rPr>
              <w:t>，由评委进行评议：</w:t>
            </w:r>
            <w:r>
              <w:rPr>
                <w:rFonts w:hint="eastAsia" w:ascii="宋体" w:hAnsi="宋体" w:cs="宋体"/>
                <w:color w:val="auto"/>
                <w:kern w:val="0"/>
                <w:sz w:val="24"/>
                <w:lang w:eastAsia="zh-CN"/>
              </w:rPr>
              <w:t>方案内容能够完整、清晰阐述项目实施基础方案内容同时在确保方案实施的基础上增加有利于项目执行内容的得3分；方案能够内容完整、清晰的阐述基本要求且符合项目实际操作的得2.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分；有提供方案，但阐述内容未完整响应基本要求的得</w:t>
            </w:r>
            <w:r>
              <w:rPr>
                <w:rFonts w:hint="eastAsia" w:ascii="宋体" w:hAnsi="宋体" w:cs="宋体"/>
                <w:color w:val="auto"/>
                <w:kern w:val="0"/>
                <w:sz w:val="24"/>
                <w:lang w:val="en-US" w:eastAsia="zh-CN"/>
              </w:rPr>
              <w:t>2.8</w:t>
            </w:r>
            <w:r>
              <w:rPr>
                <w:rFonts w:hint="eastAsia" w:ascii="宋体" w:hAnsi="宋体" w:cs="宋体"/>
                <w:color w:val="auto"/>
                <w:kern w:val="0"/>
                <w:sz w:val="24"/>
                <w:lang w:eastAsia="zh-CN"/>
              </w:rPr>
              <w:t>分；未提供或方案与项目不符的不得分。</w:t>
            </w:r>
          </w:p>
        </w:tc>
      </w:tr>
      <w:tr w14:paraId="36A4B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1740" w:type="dxa"/>
            <w:vAlign w:val="center"/>
          </w:tcPr>
          <w:p w14:paraId="227444E4">
            <w:pPr>
              <w:pStyle w:val="20"/>
              <w:keepNext w:val="0"/>
              <w:keepLines w:val="0"/>
              <w:pageBreakBefore w:val="0"/>
              <w:kinsoku/>
              <w:wordWrap/>
              <w:overflowPunct/>
              <w:topLinePunct w:val="0"/>
              <w:autoSpaceDE/>
              <w:autoSpaceDN/>
              <w:bidi w:val="0"/>
              <w:adjustRightInd/>
              <w:spacing w:line="340" w:lineRule="exact"/>
              <w:jc w:val="both"/>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特殊要求的绿化养护方案</w:t>
            </w:r>
          </w:p>
        </w:tc>
        <w:tc>
          <w:tcPr>
            <w:tcW w:w="960" w:type="dxa"/>
            <w:vAlign w:val="center"/>
          </w:tcPr>
          <w:p w14:paraId="54E2AB04">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olor w:val="auto"/>
                <w:sz w:val="24"/>
                <w:szCs w:val="24"/>
              </w:rPr>
            </w:pPr>
            <w:r>
              <w:rPr>
                <w:rFonts w:ascii="宋体" w:hAnsi="宋体" w:eastAsia="宋体" w:cs="宋体"/>
                <w:color w:val="auto"/>
                <w:sz w:val="24"/>
                <w:szCs w:val="24"/>
                <w:lang w:eastAsia="zh-CN"/>
              </w:rPr>
              <w:t>3.00</w:t>
            </w:r>
          </w:p>
        </w:tc>
        <w:tc>
          <w:tcPr>
            <w:tcW w:w="940" w:type="dxa"/>
            <w:vAlign w:val="center"/>
          </w:tcPr>
          <w:p w14:paraId="456377B8">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center"/>
          </w:tcPr>
          <w:p w14:paraId="7DF43C4D">
            <w:pPr>
              <w:keepNext w:val="0"/>
              <w:keepLines w:val="0"/>
              <w:pageBreakBefore w:val="0"/>
              <w:kinsoku/>
              <w:wordWrap/>
              <w:overflowPunct/>
              <w:topLinePunct w:val="0"/>
              <w:autoSpaceDE/>
              <w:autoSpaceDN/>
              <w:bidi w:val="0"/>
              <w:adjustRightInd/>
              <w:spacing w:line="340" w:lineRule="exact"/>
              <w:jc w:val="both"/>
              <w:textAlignment w:val="auto"/>
              <w:rPr>
                <w:rFonts w:hint="eastAsia" w:ascii="宋体" w:hAnsi="宋体" w:eastAsia="宋体" w:cs="仿宋_GB2312"/>
                <w:color w:val="auto"/>
                <w:sz w:val="24"/>
                <w:szCs w:val="24"/>
                <w:lang w:eastAsia="zh-CN"/>
              </w:rPr>
            </w:pPr>
            <w:r>
              <w:rPr>
                <w:rFonts w:hint="eastAsia" w:ascii="宋体" w:hAnsi="宋体" w:cs="宋体"/>
                <w:color w:val="auto"/>
                <w:kern w:val="0"/>
                <w:sz w:val="24"/>
                <w:lang w:bidi="ar"/>
              </w:rPr>
              <w:t>根据各投标人针对本项目提供的特殊绿化养护要求（荷花、三角梅、木芙</w:t>
            </w:r>
            <w:r>
              <w:rPr>
                <w:rFonts w:hint="eastAsia" w:ascii="宋体" w:hAnsi="宋体" w:cs="宋体"/>
                <w:color w:val="auto"/>
                <w:kern w:val="0"/>
                <w:sz w:val="24"/>
                <w:highlight w:val="none"/>
                <w:lang w:bidi="ar"/>
              </w:rPr>
              <w:t>蓉、茉莉花、福桔）的养护提供合理化建议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包括但不限于修剪计划、病虫害防治、水肥管理等</w:t>
            </w:r>
            <w:r>
              <w:rPr>
                <w:rFonts w:hint="eastAsia" w:ascii="宋体" w:hAnsi="宋体" w:eastAsia="宋体" w:cs="宋体"/>
                <w:color w:val="auto"/>
                <w:sz w:val="24"/>
                <w:szCs w:val="24"/>
                <w:highlight w:val="none"/>
                <w:lang w:eastAsia="zh-CN"/>
              </w:rPr>
              <w:t>）</w:t>
            </w:r>
            <w:r>
              <w:rPr>
                <w:rFonts w:hint="eastAsia" w:ascii="宋体" w:hAnsi="宋体" w:cs="宋体"/>
                <w:color w:val="auto"/>
                <w:kern w:val="0"/>
                <w:sz w:val="24"/>
                <w:highlight w:val="none"/>
                <w:lang w:bidi="ar"/>
              </w:rPr>
              <w:t>，由评委进行评议：</w:t>
            </w:r>
            <w:r>
              <w:rPr>
                <w:rFonts w:hint="eastAsia" w:ascii="宋体" w:hAnsi="宋体" w:cs="宋体"/>
                <w:color w:val="auto"/>
                <w:kern w:val="0"/>
                <w:sz w:val="24"/>
                <w:highlight w:val="none"/>
                <w:lang w:eastAsia="zh-CN"/>
              </w:rPr>
              <w:t>方</w:t>
            </w:r>
            <w:r>
              <w:rPr>
                <w:rFonts w:hint="eastAsia" w:ascii="宋体" w:hAnsi="宋体" w:cs="宋体"/>
                <w:color w:val="auto"/>
                <w:kern w:val="0"/>
                <w:sz w:val="24"/>
                <w:lang w:eastAsia="zh-CN"/>
              </w:rPr>
              <w:t>案内容能够完整、清晰阐述项目实施基础方案内容同时在确保方案实施的基础上增加有利于项目执行内容的得3分；方案能够内容完整、清晰的阐述基本要求且符合项目实际操作的得2.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分；有提供方案，但阐述内容未完整响应基本要求的得</w:t>
            </w:r>
            <w:r>
              <w:rPr>
                <w:rFonts w:hint="eastAsia" w:ascii="宋体" w:hAnsi="宋体" w:cs="宋体"/>
                <w:color w:val="auto"/>
                <w:kern w:val="0"/>
                <w:sz w:val="24"/>
                <w:lang w:val="en-US" w:eastAsia="zh-CN"/>
              </w:rPr>
              <w:t>2.8</w:t>
            </w:r>
            <w:r>
              <w:rPr>
                <w:rFonts w:hint="eastAsia" w:ascii="宋体" w:hAnsi="宋体" w:cs="宋体"/>
                <w:color w:val="auto"/>
                <w:kern w:val="0"/>
                <w:sz w:val="24"/>
                <w:lang w:eastAsia="zh-CN"/>
              </w:rPr>
              <w:t>分；未提供或方案与项目不符的不得分。</w:t>
            </w:r>
          </w:p>
        </w:tc>
      </w:tr>
      <w:tr w14:paraId="1B1E8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6FFE51C1">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、大树修剪专项方案</w:t>
            </w:r>
          </w:p>
        </w:tc>
        <w:tc>
          <w:tcPr>
            <w:tcW w:w="960" w:type="dxa"/>
            <w:vAlign w:val="center"/>
          </w:tcPr>
          <w:p w14:paraId="46C37FC1">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3.00</w:t>
            </w:r>
          </w:p>
        </w:tc>
        <w:tc>
          <w:tcPr>
            <w:tcW w:w="940" w:type="dxa"/>
            <w:vAlign w:val="center"/>
          </w:tcPr>
          <w:p w14:paraId="14204E46">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center"/>
          </w:tcPr>
          <w:p w14:paraId="18B78B97">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s="仿宋_GB2312"/>
                <w:color w:val="auto"/>
                <w:sz w:val="24"/>
                <w:lang w:eastAsia="zh-CN"/>
              </w:rPr>
            </w:pPr>
            <w:r>
              <w:rPr>
                <w:rFonts w:ascii="宋体" w:hAnsi="宋体" w:cs="宋体"/>
                <w:color w:val="auto"/>
                <w:sz w:val="24"/>
              </w:rPr>
              <w:t>根据</w:t>
            </w:r>
            <w:r>
              <w:rPr>
                <w:rFonts w:hint="eastAsia" w:ascii="宋体" w:hAnsi="宋体" w:cs="宋体"/>
                <w:color w:val="auto"/>
                <w:sz w:val="24"/>
              </w:rPr>
              <w:t>各</w:t>
            </w:r>
            <w:r>
              <w:rPr>
                <w:rFonts w:ascii="宋体" w:hAnsi="宋体" w:cs="宋体"/>
                <w:color w:val="auto"/>
                <w:sz w:val="24"/>
              </w:rPr>
              <w:t>投标人针对本项目</w:t>
            </w:r>
            <w:r>
              <w:rPr>
                <w:rFonts w:hint="eastAsia" w:ascii="宋体" w:hAnsi="宋体" w:cs="宋体"/>
                <w:color w:val="auto"/>
                <w:sz w:val="24"/>
              </w:rPr>
              <w:t>提供</w:t>
            </w:r>
            <w:r>
              <w:rPr>
                <w:rFonts w:ascii="宋体" w:hAnsi="宋体" w:cs="宋体"/>
                <w:color w:val="auto"/>
                <w:sz w:val="24"/>
              </w:rPr>
              <w:t>的</w:t>
            </w:r>
            <w:r>
              <w:rPr>
                <w:rFonts w:hint="eastAsia" w:ascii="宋体" w:hAnsi="宋体" w:cs="宋体"/>
                <w:color w:val="auto"/>
                <w:kern w:val="0"/>
                <w:sz w:val="24"/>
              </w:rPr>
              <w:t>大树修剪专项方案</w:t>
            </w:r>
            <w:r>
              <w:rPr>
                <w:rFonts w:hint="eastAsia" w:ascii="宋体" w:hAnsi="宋体" w:cs="宋体"/>
                <w:color w:val="auto"/>
                <w:kern w:val="0"/>
                <w:sz w:val="24"/>
                <w:lang w:eastAsia="zh-CN"/>
              </w:rPr>
              <w:t>（</w:t>
            </w:r>
            <w:r>
              <w:rPr>
                <w:rFonts w:hint="eastAsia" w:ascii="宋体" w:hAnsi="宋体" w:eastAsia="宋体" w:cs="宋体"/>
                <w:color w:val="auto"/>
                <w:sz w:val="24"/>
                <w:szCs w:val="24"/>
                <w:highlight w:val="none"/>
                <w:lang w:val="en-US" w:eastAsia="zh-CN"/>
              </w:rPr>
              <w:t>包括但不限于</w:t>
            </w:r>
            <w:r>
              <w:rPr>
                <w:rFonts w:ascii="宋体" w:hAnsi="宋体" w:eastAsia="宋体" w:cs="宋体"/>
                <w:color w:val="auto"/>
                <w:sz w:val="24"/>
                <w:szCs w:val="24"/>
              </w:rPr>
              <w:t>修剪安全作业管理</w:t>
            </w:r>
            <w:r>
              <w:rPr>
                <w:rFonts w:hint="eastAsia" w:ascii="宋体" w:hAnsi="宋体" w:eastAsia="宋体" w:cs="宋体"/>
                <w:color w:val="auto"/>
                <w:sz w:val="24"/>
                <w:szCs w:val="24"/>
                <w:lang w:eastAsia="zh-CN"/>
              </w:rPr>
              <w:t>、</w:t>
            </w:r>
            <w:r>
              <w:rPr>
                <w:rFonts w:ascii="宋体" w:hAnsi="宋体" w:eastAsia="宋体" w:cs="宋体"/>
                <w:color w:val="auto"/>
                <w:sz w:val="24"/>
                <w:szCs w:val="24"/>
              </w:rPr>
              <w:t>机械设备投入</w:t>
            </w:r>
            <w:r>
              <w:rPr>
                <w:rFonts w:hint="eastAsia" w:ascii="宋体" w:hAnsi="宋体" w:eastAsia="宋体" w:cs="宋体"/>
                <w:color w:val="auto"/>
                <w:sz w:val="24"/>
                <w:szCs w:val="24"/>
                <w:lang w:eastAsia="zh-CN"/>
              </w:rPr>
              <w:t>、</w:t>
            </w:r>
            <w:r>
              <w:rPr>
                <w:rFonts w:ascii="宋体" w:hAnsi="宋体" w:eastAsia="宋体" w:cs="宋体"/>
                <w:color w:val="auto"/>
                <w:sz w:val="24"/>
                <w:szCs w:val="24"/>
              </w:rPr>
              <w:t>修剪计划等</w:t>
            </w:r>
            <w:r>
              <w:rPr>
                <w:rFonts w:hint="eastAsia" w:ascii="宋体" w:hAnsi="宋体" w:cs="宋体"/>
                <w:color w:val="auto"/>
                <w:kern w:val="0"/>
                <w:sz w:val="24"/>
                <w:lang w:eastAsia="zh-CN"/>
              </w:rPr>
              <w:t>）</w:t>
            </w:r>
            <w:r>
              <w:rPr>
                <w:rFonts w:hint="eastAsia" w:ascii="宋体" w:hAnsi="宋体" w:cs="宋体"/>
                <w:color w:val="auto"/>
                <w:sz w:val="24"/>
              </w:rPr>
              <w:t>，</w:t>
            </w:r>
            <w:r>
              <w:rPr>
                <w:rFonts w:ascii="宋体" w:hAnsi="宋体" w:cs="宋体"/>
                <w:color w:val="auto"/>
                <w:sz w:val="24"/>
              </w:rPr>
              <w:t>由评委进行评分：</w:t>
            </w:r>
            <w:r>
              <w:rPr>
                <w:rFonts w:hint="eastAsia" w:ascii="宋体" w:hAnsi="宋体" w:cs="宋体"/>
                <w:color w:val="auto"/>
                <w:sz w:val="24"/>
                <w:lang w:eastAsia="zh-CN"/>
              </w:rPr>
              <w:t>方案内容能够完整、清晰阐述项目实施基础方案内容同时在确保方案实施的基础上增加有利于项目执行内容的得3分；方案能够内容完整、清晰的阐述基本要求且符合项目实际操作的得</w:t>
            </w:r>
            <w:r>
              <w:rPr>
                <w:rFonts w:hint="eastAsia" w:ascii="宋体" w:hAnsi="宋体" w:cs="宋体"/>
                <w:color w:val="auto"/>
                <w:kern w:val="0"/>
                <w:sz w:val="24"/>
                <w:lang w:eastAsia="zh-CN"/>
              </w:rPr>
              <w:t>2.</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分；有提供方案，但阐述内容未完整响应基本要求的得</w:t>
            </w:r>
            <w:r>
              <w:rPr>
                <w:rFonts w:hint="eastAsia" w:ascii="宋体" w:hAnsi="宋体" w:cs="宋体"/>
                <w:color w:val="auto"/>
                <w:kern w:val="0"/>
                <w:sz w:val="24"/>
                <w:lang w:val="en-US" w:eastAsia="zh-CN"/>
              </w:rPr>
              <w:t>2.8</w:t>
            </w:r>
            <w:r>
              <w:rPr>
                <w:rFonts w:hint="eastAsia" w:ascii="宋体" w:hAnsi="宋体" w:cs="宋体"/>
                <w:color w:val="auto"/>
                <w:kern w:val="0"/>
                <w:sz w:val="24"/>
                <w:lang w:eastAsia="zh-CN"/>
              </w:rPr>
              <w:t>分；未提供或方案与项目不符的不得分。</w:t>
            </w:r>
          </w:p>
        </w:tc>
      </w:tr>
      <w:tr w14:paraId="464AA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5095C1EA">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8、</w:t>
            </w:r>
            <w:r>
              <w:rPr>
                <w:rFonts w:ascii="宋体" w:hAnsi="宋体" w:eastAsia="宋体" w:cs="宋体"/>
                <w:color w:val="auto"/>
                <w:kern w:val="0"/>
                <w:sz w:val="24"/>
                <w:szCs w:val="24"/>
                <w:lang w:val="en-US" w:eastAsia="zh-CN" w:bidi="ar"/>
              </w:rPr>
              <w:t>安全文明施工作业规章制度和培训方案</w:t>
            </w:r>
          </w:p>
        </w:tc>
        <w:tc>
          <w:tcPr>
            <w:tcW w:w="960" w:type="dxa"/>
            <w:vAlign w:val="center"/>
          </w:tcPr>
          <w:p w14:paraId="0963F878">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3ECDB2DB">
            <w:pPr>
              <w:pStyle w:val="20"/>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center"/>
          </w:tcPr>
          <w:p w14:paraId="35AECA92">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s="宋体"/>
                <w:color w:val="auto"/>
                <w:sz w:val="24"/>
                <w:lang w:eastAsia="zh-CN"/>
              </w:rPr>
            </w:pPr>
            <w:r>
              <w:rPr>
                <w:rFonts w:ascii="宋体" w:hAnsi="宋体" w:cs="宋体"/>
                <w:color w:val="auto"/>
                <w:sz w:val="24"/>
              </w:rPr>
              <w:t>根据</w:t>
            </w:r>
            <w:r>
              <w:rPr>
                <w:rFonts w:hint="eastAsia" w:ascii="宋体" w:hAnsi="宋体" w:cs="宋体"/>
                <w:color w:val="auto"/>
                <w:sz w:val="24"/>
              </w:rPr>
              <w:t>各</w:t>
            </w:r>
            <w:r>
              <w:rPr>
                <w:rFonts w:ascii="宋体" w:hAnsi="宋体" w:cs="宋体"/>
                <w:color w:val="auto"/>
                <w:sz w:val="24"/>
              </w:rPr>
              <w:t>投标人针对本项目</w:t>
            </w:r>
            <w:r>
              <w:rPr>
                <w:rFonts w:hint="eastAsia" w:ascii="宋体" w:hAnsi="宋体" w:cs="宋体"/>
                <w:color w:val="auto"/>
                <w:sz w:val="24"/>
              </w:rPr>
              <w:t>提供</w:t>
            </w:r>
            <w:r>
              <w:rPr>
                <w:rFonts w:ascii="宋体" w:hAnsi="宋体" w:cs="宋体"/>
                <w:color w:val="auto"/>
                <w:sz w:val="24"/>
              </w:rPr>
              <w:t>的</w:t>
            </w:r>
            <w:r>
              <w:rPr>
                <w:rFonts w:hint="eastAsia" w:ascii="宋体" w:hAnsi="宋体" w:cs="宋体"/>
                <w:color w:val="auto"/>
                <w:sz w:val="24"/>
                <w:szCs w:val="24"/>
                <w:lang w:val="en-US" w:eastAsia="zh-CN"/>
              </w:rPr>
              <w:t>服务</w:t>
            </w:r>
            <w:r>
              <w:rPr>
                <w:rFonts w:ascii="宋体" w:hAnsi="宋体" w:eastAsia="宋体" w:cs="宋体"/>
                <w:color w:val="auto"/>
                <w:sz w:val="24"/>
                <w:szCs w:val="24"/>
              </w:rPr>
              <w:t>人员安全文明施工、安全文明作业培训和管理方案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w:t>
            </w:r>
            <w:r>
              <w:rPr>
                <w:rFonts w:ascii="宋体" w:hAnsi="宋体" w:eastAsia="宋体" w:cs="宋体"/>
                <w:color w:val="auto"/>
                <w:sz w:val="24"/>
                <w:szCs w:val="24"/>
                <w:highlight w:val="none"/>
              </w:rPr>
              <w:t>具体的</w:t>
            </w:r>
            <w:r>
              <w:rPr>
                <w:rFonts w:ascii="宋体" w:hAnsi="宋体" w:eastAsia="宋体" w:cs="宋体"/>
                <w:color w:val="auto"/>
                <w:sz w:val="24"/>
                <w:szCs w:val="24"/>
              </w:rPr>
              <w:t>安全文明施工作业规章制度</w:t>
            </w:r>
            <w:r>
              <w:rPr>
                <w:rFonts w:hint="eastAsia" w:ascii="宋体" w:hAnsi="宋体" w:eastAsia="宋体" w:cs="宋体"/>
                <w:color w:val="auto"/>
                <w:sz w:val="24"/>
                <w:szCs w:val="24"/>
                <w:lang w:eastAsia="zh-CN"/>
              </w:rPr>
              <w:t>、</w:t>
            </w:r>
            <w:r>
              <w:rPr>
                <w:rFonts w:ascii="宋体" w:hAnsi="宋体" w:eastAsia="宋体" w:cs="宋体"/>
                <w:color w:val="auto"/>
                <w:sz w:val="24"/>
                <w:szCs w:val="24"/>
              </w:rPr>
              <w:t>培训方案等</w:t>
            </w:r>
            <w:r>
              <w:rPr>
                <w:rFonts w:hint="eastAsia" w:ascii="宋体" w:hAnsi="宋体" w:eastAsia="宋体" w:cs="宋体"/>
                <w:color w:val="auto"/>
                <w:sz w:val="24"/>
                <w:szCs w:val="24"/>
                <w:lang w:eastAsia="zh-CN"/>
              </w:rPr>
              <w:t>）</w:t>
            </w:r>
            <w:r>
              <w:rPr>
                <w:rFonts w:hint="eastAsia" w:ascii="宋体" w:hAnsi="宋体" w:cs="宋体"/>
                <w:color w:val="auto"/>
                <w:sz w:val="24"/>
              </w:rPr>
              <w:t>，</w:t>
            </w:r>
            <w:r>
              <w:rPr>
                <w:rFonts w:ascii="宋体" w:hAnsi="宋体" w:cs="宋体"/>
                <w:color w:val="auto"/>
                <w:sz w:val="24"/>
              </w:rPr>
              <w:t>由评委进行评分：</w:t>
            </w:r>
            <w:r>
              <w:rPr>
                <w:rFonts w:hint="eastAsia" w:ascii="宋体" w:hAnsi="宋体" w:cs="宋体"/>
                <w:color w:val="auto"/>
                <w:sz w:val="24"/>
                <w:lang w:eastAsia="zh-CN"/>
              </w:rPr>
              <w:t>方案内容能够完整、清晰阐述项目实施基础方案内容同时在确保方案实施的基础上增加有利于项目执行内容的得3分；方案能够内容完整、清晰的阐述基本要求且符合项目实际操作的得</w:t>
            </w:r>
            <w:r>
              <w:rPr>
                <w:rFonts w:hint="eastAsia" w:ascii="宋体" w:hAnsi="宋体" w:cs="宋体"/>
                <w:color w:val="auto"/>
                <w:kern w:val="0"/>
                <w:sz w:val="24"/>
                <w:lang w:eastAsia="zh-CN"/>
              </w:rPr>
              <w:t>2.</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分；有提供方案，但阐述内容未完整响应基本要求的得</w:t>
            </w:r>
            <w:r>
              <w:rPr>
                <w:rFonts w:hint="eastAsia" w:ascii="宋体" w:hAnsi="宋体" w:cs="宋体"/>
                <w:color w:val="auto"/>
                <w:kern w:val="0"/>
                <w:sz w:val="24"/>
                <w:lang w:val="en-US" w:eastAsia="zh-CN"/>
              </w:rPr>
              <w:t>2.8</w:t>
            </w:r>
            <w:r>
              <w:rPr>
                <w:rFonts w:hint="eastAsia" w:ascii="宋体" w:hAnsi="宋体" w:cs="宋体"/>
                <w:color w:val="auto"/>
                <w:kern w:val="0"/>
                <w:sz w:val="24"/>
                <w:lang w:eastAsia="zh-CN"/>
              </w:rPr>
              <w:t>分；未提供或方案与项目不符的不得分。</w:t>
            </w:r>
          </w:p>
        </w:tc>
      </w:tr>
      <w:tr w14:paraId="5B0EF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1740" w:type="dxa"/>
            <w:vAlign w:val="center"/>
          </w:tcPr>
          <w:p w14:paraId="13EE3EDB">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9、</w:t>
            </w:r>
            <w:r>
              <w:rPr>
                <w:rFonts w:ascii="宋体" w:hAnsi="宋体" w:eastAsia="宋体" w:cs="宋体"/>
                <w:color w:val="auto"/>
                <w:kern w:val="0"/>
                <w:sz w:val="24"/>
                <w:szCs w:val="24"/>
                <w:lang w:val="en-US" w:eastAsia="zh-CN" w:bidi="ar"/>
              </w:rPr>
              <w:t>项目负责人</w:t>
            </w:r>
          </w:p>
        </w:tc>
        <w:tc>
          <w:tcPr>
            <w:tcW w:w="960" w:type="dxa"/>
            <w:vAlign w:val="center"/>
          </w:tcPr>
          <w:p w14:paraId="1CB7C595">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565F1391">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59AFC23E">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s="宋体"/>
                <w:color w:val="auto"/>
                <w:sz w:val="24"/>
                <w:lang w:eastAsia="zh-CN"/>
              </w:rPr>
            </w:pPr>
            <w:r>
              <w:rPr>
                <w:rFonts w:hint="eastAsia" w:ascii="宋体" w:hAnsi="宋体" w:eastAsia="宋体"/>
                <w:color w:val="auto"/>
                <w:sz w:val="24"/>
                <w:szCs w:val="24"/>
                <w:lang w:val="en-US" w:eastAsia="zh-CN"/>
              </w:rPr>
              <w:t>根据</w:t>
            </w:r>
            <w:r>
              <w:rPr>
                <w:rFonts w:hint="eastAsia" w:ascii="宋体" w:hAnsi="宋体" w:cs="宋体"/>
                <w:color w:val="auto"/>
                <w:kern w:val="0"/>
                <w:sz w:val="24"/>
                <w:lang w:bidi="ar"/>
              </w:rPr>
              <w:t>各</w:t>
            </w:r>
            <w:r>
              <w:rPr>
                <w:rFonts w:ascii="宋体" w:hAnsi="宋体" w:eastAsia="宋体"/>
                <w:color w:val="auto"/>
                <w:sz w:val="24"/>
                <w:szCs w:val="24"/>
              </w:rPr>
              <w:t>投标人针对本项目拟</w:t>
            </w:r>
            <w:r>
              <w:rPr>
                <w:rFonts w:hint="eastAsia" w:ascii="宋体" w:hAnsi="宋体"/>
                <w:color w:val="auto"/>
                <w:sz w:val="24"/>
                <w:szCs w:val="24"/>
                <w:lang w:val="en-US" w:eastAsia="zh-CN"/>
              </w:rPr>
              <w:t>配备</w:t>
            </w:r>
            <w:r>
              <w:rPr>
                <w:rFonts w:ascii="宋体" w:hAnsi="宋体" w:eastAsia="宋体"/>
                <w:color w:val="auto"/>
                <w:sz w:val="24"/>
                <w:szCs w:val="24"/>
              </w:rPr>
              <w:t>的项目负责人</w:t>
            </w:r>
            <w:r>
              <w:rPr>
                <w:rFonts w:ascii="宋体" w:hAnsi="宋体" w:eastAsia="宋体"/>
                <w:color w:val="auto"/>
                <w:sz w:val="24"/>
                <w:szCs w:val="24"/>
                <w:lang w:val="en-US" w:eastAsia="zh-CN"/>
              </w:rPr>
              <w:t>满足招标要求的情况</w:t>
            </w:r>
            <w:r>
              <w:rPr>
                <w:rFonts w:hint="eastAsia" w:ascii="宋体" w:hAnsi="宋体" w:cs="宋体"/>
                <w:color w:val="auto"/>
                <w:sz w:val="24"/>
              </w:rPr>
              <w:t>，</w:t>
            </w:r>
            <w:r>
              <w:rPr>
                <w:rFonts w:ascii="宋体" w:hAnsi="宋体" w:cs="宋体"/>
                <w:color w:val="auto"/>
                <w:sz w:val="24"/>
              </w:rPr>
              <w:t>由评委进行评分：</w:t>
            </w:r>
            <w:r>
              <w:rPr>
                <w:rFonts w:hint="default" w:ascii="宋体" w:hAnsi="宋体" w:eastAsia="宋体" w:cs="Times New Roman"/>
                <w:color w:val="auto"/>
                <w:sz w:val="24"/>
                <w:szCs w:val="24"/>
                <w:lang w:eastAsia="zh-CN"/>
              </w:rPr>
              <w:t>①</w:t>
            </w:r>
            <w:r>
              <w:rPr>
                <w:rFonts w:hint="eastAsia" w:ascii="宋体" w:hAnsi="宋体" w:cs="宋体"/>
                <w:color w:val="auto"/>
                <w:sz w:val="24"/>
              </w:rPr>
              <w:t>具备园林绿化专业高级职称的得1分；具备园林绿化专业中级职称的得0.5分；②</w:t>
            </w:r>
            <w:r>
              <w:rPr>
                <w:rFonts w:hint="default" w:ascii="宋体" w:hAnsi="宋体" w:cs="宋体"/>
                <w:color w:val="auto"/>
                <w:sz w:val="24"/>
              </w:rPr>
              <w:t>具有</w:t>
            </w:r>
            <w:r>
              <w:rPr>
                <w:rFonts w:hint="eastAsia" w:ascii="宋体" w:hAnsi="宋体" w:cs="宋体"/>
                <w:color w:val="auto"/>
                <w:sz w:val="24"/>
                <w:lang w:val="en-US" w:eastAsia="zh-CN"/>
              </w:rPr>
              <w:t>与本次招标同类项目（至少包含</w:t>
            </w:r>
            <w:r>
              <w:rPr>
                <w:rFonts w:hint="default" w:ascii="宋体" w:hAnsi="宋体" w:cs="宋体"/>
                <w:color w:val="auto"/>
                <w:sz w:val="24"/>
              </w:rPr>
              <w:t>城市公园绿化养护项目</w:t>
            </w:r>
            <w:r>
              <w:rPr>
                <w:rFonts w:hint="eastAsia" w:ascii="宋体" w:hAnsi="宋体" w:cs="宋体"/>
                <w:color w:val="auto"/>
                <w:sz w:val="24"/>
                <w:lang w:eastAsia="zh-CN"/>
              </w:rPr>
              <w:t>）</w:t>
            </w:r>
            <w:r>
              <w:rPr>
                <w:rFonts w:hint="eastAsia" w:ascii="宋体" w:hAnsi="宋体" w:cs="宋体"/>
                <w:color w:val="auto"/>
                <w:sz w:val="24"/>
                <w:highlight w:val="none"/>
              </w:rPr>
              <w:t>从业经验的</w:t>
            </w:r>
            <w:r>
              <w:rPr>
                <w:rFonts w:hint="eastAsia" w:ascii="宋体" w:hAnsi="宋体" w:cs="宋体"/>
                <w:color w:val="auto"/>
                <w:sz w:val="24"/>
                <w:highlight w:val="none"/>
                <w:lang w:eastAsia="zh-CN"/>
              </w:rPr>
              <w:t>，</w:t>
            </w:r>
            <w:r>
              <w:rPr>
                <w:rFonts w:hint="eastAsia" w:ascii="宋体" w:hAnsi="宋体" w:cs="宋体"/>
                <w:color w:val="auto"/>
                <w:sz w:val="24"/>
                <w:highlight w:val="none"/>
              </w:rPr>
              <w:t>每提供1份证明材料</w:t>
            </w:r>
            <w:r>
              <w:rPr>
                <w:rFonts w:hint="eastAsia" w:ascii="宋体" w:hAnsi="宋体" w:cs="宋体"/>
                <w:color w:val="auto"/>
                <w:sz w:val="24"/>
                <w:highlight w:val="none"/>
                <w:lang w:eastAsia="zh-CN"/>
              </w:rPr>
              <w:t>的</w:t>
            </w:r>
            <w:r>
              <w:rPr>
                <w:rFonts w:hint="eastAsia" w:ascii="宋体" w:hAnsi="宋体" w:cs="宋体"/>
                <w:color w:val="auto"/>
                <w:sz w:val="24"/>
                <w:highlight w:val="none"/>
              </w:rPr>
              <w:t>得1分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最多提供2份得2分</w:t>
            </w:r>
            <w:r>
              <w:rPr>
                <w:rFonts w:hint="eastAsia" w:ascii="宋体" w:hAnsi="宋体" w:cs="宋体"/>
                <w:color w:val="auto"/>
                <w:sz w:val="24"/>
                <w:highlight w:val="none"/>
              </w:rPr>
              <w:t>。</w:t>
            </w:r>
            <w:r>
              <w:rPr>
                <w:rFonts w:ascii="宋体" w:hAnsi="宋体" w:eastAsia="宋体"/>
                <w:color w:val="auto"/>
                <w:sz w:val="24"/>
                <w:szCs w:val="24"/>
                <w:highlight w:val="none"/>
              </w:rPr>
              <w:t>注：</w:t>
            </w:r>
            <w:r>
              <w:rPr>
                <w:rFonts w:hint="default" w:ascii="宋体" w:hAnsi="宋体" w:eastAsia="宋体" w:cs="Times New Roman"/>
                <w:color w:val="auto"/>
                <w:sz w:val="24"/>
                <w:szCs w:val="24"/>
                <w:highlight w:val="none"/>
                <w:lang w:eastAsia="zh-CN"/>
              </w:rPr>
              <w:t>①</w:t>
            </w:r>
            <w:r>
              <w:rPr>
                <w:rFonts w:ascii="宋体" w:hAnsi="宋体" w:eastAsia="宋体" w:cs="Times New Roman"/>
                <w:color w:val="auto"/>
                <w:sz w:val="24"/>
                <w:szCs w:val="24"/>
                <w:highlight w:val="none"/>
              </w:rPr>
              <w:t>投</w:t>
            </w:r>
            <w:r>
              <w:rPr>
                <w:rFonts w:ascii="宋体" w:hAnsi="宋体" w:eastAsia="宋体"/>
                <w:color w:val="auto"/>
                <w:sz w:val="24"/>
                <w:szCs w:val="24"/>
                <w:highlight w:val="none"/>
              </w:rPr>
              <w:t>标人</w:t>
            </w:r>
            <w:r>
              <w:rPr>
                <w:rFonts w:hint="eastAsia" w:ascii="宋体" w:hAnsi="宋体" w:eastAsia="宋体"/>
                <w:color w:val="auto"/>
                <w:sz w:val="24"/>
                <w:szCs w:val="24"/>
                <w:highlight w:val="none"/>
                <w:lang w:val="en-US" w:eastAsia="zh-CN"/>
              </w:rPr>
              <w:t>须</w:t>
            </w:r>
            <w:r>
              <w:rPr>
                <w:rFonts w:ascii="宋体" w:hAnsi="宋体" w:eastAsia="宋体"/>
                <w:color w:val="auto"/>
                <w:sz w:val="24"/>
                <w:szCs w:val="24"/>
                <w:highlight w:val="none"/>
              </w:rPr>
              <w:t>提供</w:t>
            </w:r>
            <w:r>
              <w:rPr>
                <w:rFonts w:hint="eastAsia" w:ascii="宋体" w:hAnsi="宋体" w:eastAsia="宋体"/>
                <w:color w:val="auto"/>
                <w:sz w:val="24"/>
                <w:szCs w:val="24"/>
                <w:highlight w:val="none"/>
              </w:rPr>
              <w:t>人力资源和社会保障部门或行政主管部门核发的职称证书复印件</w:t>
            </w:r>
            <w:r>
              <w:rPr>
                <w:rFonts w:hint="eastAsia" w:ascii="宋体" w:hAnsi="宋体" w:eastAsia="宋体" w:cs="Times New Roman"/>
                <w:color w:val="auto"/>
                <w:sz w:val="24"/>
                <w:szCs w:val="24"/>
                <w:highlight w:val="none"/>
                <w:lang w:val="en-US" w:eastAsia="zh-CN"/>
              </w:rPr>
              <w:t>及</w:t>
            </w:r>
            <w:r>
              <w:rPr>
                <w:rFonts w:ascii="宋体" w:hAnsi="宋体" w:eastAsia="宋体" w:cs="Times New Roman"/>
                <w:color w:val="auto"/>
                <w:sz w:val="24"/>
                <w:szCs w:val="24"/>
                <w:highlight w:val="none"/>
              </w:rPr>
              <w:t>投标截止时间前六个月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不含投标截止时间的当月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中任一月份投标人为其缴纳的社保证明</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从社保窗口或从社保系统中打印的有盖章的社会保障资金缴纳证明材料</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rPr>
              <w:t>复印件</w:t>
            </w:r>
            <w:r>
              <w:rPr>
                <w:rFonts w:hint="eastAsia" w:ascii="宋体" w:hAnsi="宋体" w:eastAsia="宋体" w:cs="Times New Roman"/>
                <w:color w:val="auto"/>
                <w:sz w:val="24"/>
                <w:szCs w:val="24"/>
                <w:highlight w:val="none"/>
                <w:lang w:eastAsia="zh-CN"/>
              </w:rPr>
              <w:t>，</w:t>
            </w:r>
            <w:r>
              <w:rPr>
                <w:rFonts w:hint="eastAsia" w:ascii="宋体" w:hAnsi="宋体" w:eastAsia="宋体" w:cs="宋体"/>
                <w:b w:val="0"/>
                <w:bCs w:val="0"/>
                <w:color w:val="auto"/>
                <w:sz w:val="24"/>
                <w:szCs w:val="32"/>
                <w:lang w:val="en-US" w:eastAsia="zh-CN"/>
              </w:rPr>
              <w:t>否则不得分</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eastAsia="zh-CN"/>
              </w:rPr>
              <w:t>②项目负责人的从业证明材料提供：身份证复印件及从业经验列表</w:t>
            </w:r>
            <w:r>
              <w:rPr>
                <w:rFonts w:hint="eastAsia" w:ascii="宋体" w:hAnsi="宋体" w:cs="Times New Roman"/>
                <w:color w:val="auto"/>
                <w:sz w:val="24"/>
                <w:szCs w:val="24"/>
                <w:highlight w:val="none"/>
                <w:lang w:eastAsia="zh-CN"/>
              </w:rPr>
              <w:t>（</w:t>
            </w:r>
            <w:r>
              <w:rPr>
                <w:rFonts w:hint="default" w:ascii="宋体" w:hAnsi="宋体" w:eastAsia="宋体" w:cs="Times New Roman"/>
                <w:color w:val="auto"/>
                <w:sz w:val="24"/>
                <w:szCs w:val="24"/>
                <w:highlight w:val="none"/>
                <w:lang w:eastAsia="zh-CN"/>
              </w:rPr>
              <w:t>表中应注明：项目名称、合同</w:t>
            </w:r>
            <w:r>
              <w:rPr>
                <w:rFonts w:hint="eastAsia" w:ascii="宋体" w:hAnsi="宋体" w:cs="Times New Roman"/>
                <w:color w:val="auto"/>
                <w:sz w:val="24"/>
                <w:szCs w:val="24"/>
                <w:highlight w:val="none"/>
                <w:lang w:val="en-US" w:eastAsia="zh-CN"/>
              </w:rPr>
              <w:t>签订</w:t>
            </w:r>
            <w:r>
              <w:rPr>
                <w:rFonts w:hint="default" w:ascii="宋体" w:hAnsi="宋体" w:eastAsia="宋体" w:cs="Times New Roman"/>
                <w:color w:val="auto"/>
                <w:sz w:val="24"/>
                <w:szCs w:val="24"/>
                <w:highlight w:val="none"/>
                <w:lang w:eastAsia="zh-CN"/>
              </w:rPr>
              <w:t>时间、采购单位等</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eastAsia="zh-CN"/>
              </w:rPr>
              <w:t>须同时提供业绩项目中标公告（提供相关网站中标公告的下载网页并注明网址）、中标通知书</w:t>
            </w:r>
            <w:r>
              <w:rPr>
                <w:rFonts w:hint="eastAsia" w:ascii="宋体" w:hAnsi="宋体" w:cs="Times New Roman"/>
                <w:color w:val="auto"/>
                <w:sz w:val="24"/>
                <w:szCs w:val="24"/>
                <w:highlight w:val="none"/>
                <w:lang w:val="en-US" w:eastAsia="zh-CN"/>
              </w:rPr>
              <w:t>复印件和</w:t>
            </w:r>
            <w:r>
              <w:rPr>
                <w:rFonts w:hint="default" w:ascii="宋体" w:hAnsi="宋体" w:eastAsia="宋体" w:cs="Times New Roman"/>
                <w:color w:val="auto"/>
                <w:sz w:val="24"/>
                <w:szCs w:val="24"/>
                <w:highlight w:val="none"/>
                <w:lang w:eastAsia="zh-CN"/>
              </w:rPr>
              <w:t>合同文本</w:t>
            </w:r>
            <w:r>
              <w:rPr>
                <w:rFonts w:hint="eastAsia" w:ascii="宋体" w:hAnsi="宋体" w:cs="Times New Roman"/>
                <w:color w:val="auto"/>
                <w:sz w:val="24"/>
                <w:szCs w:val="24"/>
                <w:highlight w:val="none"/>
                <w:lang w:val="en-US" w:eastAsia="zh-CN"/>
              </w:rPr>
              <w:t>复印件</w:t>
            </w:r>
            <w:r>
              <w:rPr>
                <w:rFonts w:hint="eastAsia" w:ascii="宋体" w:hAnsi="宋体" w:eastAsia="宋体" w:cs="Times New Roman"/>
                <w:color w:val="auto"/>
                <w:sz w:val="24"/>
                <w:szCs w:val="24"/>
                <w:highlight w:val="none"/>
                <w:lang w:eastAsia="zh-CN"/>
              </w:rPr>
              <w:t>，</w:t>
            </w:r>
            <w:r>
              <w:rPr>
                <w:rFonts w:hint="eastAsia" w:ascii="宋体" w:hAnsi="宋体" w:eastAsia="宋体" w:cs="宋体"/>
                <w:b w:val="0"/>
                <w:bCs w:val="0"/>
                <w:color w:val="auto"/>
                <w:sz w:val="24"/>
                <w:szCs w:val="32"/>
                <w:highlight w:val="none"/>
                <w:lang w:val="en-US" w:eastAsia="zh-CN"/>
              </w:rPr>
              <w:t>否则不得分</w:t>
            </w:r>
            <w:r>
              <w:rPr>
                <w:rFonts w:hint="default" w:ascii="宋体" w:hAnsi="宋体" w:eastAsia="宋体" w:cs="Times New Roman"/>
                <w:color w:val="auto"/>
                <w:sz w:val="24"/>
                <w:szCs w:val="24"/>
                <w:highlight w:val="none"/>
                <w:lang w:eastAsia="zh-CN"/>
              </w:rPr>
              <w:t>。③按《关于贯彻执行《园林绿化工程建设管理规定》的通知》（闽建办风景〔2018〕11号）的规定，园林绿化专业是指园林、园林施工、园林规划设计、园林植物、风景园林、园林绿化、园艺、景观、环境艺术、市政园林等专业</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本项人员与其他评分项人员不得重复得分。</w:t>
            </w:r>
          </w:p>
        </w:tc>
      </w:tr>
      <w:tr w14:paraId="118EF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43D9EC3C">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w:t>
            </w:r>
            <w:r>
              <w:rPr>
                <w:rFonts w:hint="eastAsia" w:ascii="宋体" w:hAnsi="宋体" w:eastAsia="宋体" w:cs="宋体"/>
                <w:color w:val="auto"/>
                <w:kern w:val="0"/>
                <w:sz w:val="24"/>
                <w:szCs w:val="24"/>
                <w:lang w:val="en-US" w:eastAsia="zh-CN" w:bidi="ar"/>
              </w:rPr>
              <w:t>技术</w:t>
            </w:r>
            <w:r>
              <w:rPr>
                <w:rFonts w:ascii="宋体" w:hAnsi="宋体" w:eastAsia="宋体" w:cs="宋体"/>
                <w:color w:val="auto"/>
                <w:kern w:val="0"/>
                <w:sz w:val="24"/>
                <w:szCs w:val="24"/>
                <w:lang w:val="en-US" w:eastAsia="zh-CN" w:bidi="ar"/>
              </w:rPr>
              <w:t>负责人</w:t>
            </w:r>
          </w:p>
        </w:tc>
        <w:tc>
          <w:tcPr>
            <w:tcW w:w="960" w:type="dxa"/>
            <w:vAlign w:val="center"/>
          </w:tcPr>
          <w:p w14:paraId="49DEBF8B">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7A6B10F2">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4AD9A1B9">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s="宋体"/>
                <w:color w:val="auto"/>
                <w:sz w:val="24"/>
                <w:lang w:eastAsia="zh-CN"/>
              </w:rPr>
            </w:pPr>
            <w:r>
              <w:rPr>
                <w:rFonts w:hint="eastAsia" w:ascii="宋体" w:hAnsi="宋体" w:eastAsia="宋体"/>
                <w:color w:val="auto"/>
                <w:sz w:val="24"/>
                <w:szCs w:val="24"/>
                <w:lang w:val="en-US" w:eastAsia="zh-CN"/>
              </w:rPr>
              <w:t>根据</w:t>
            </w:r>
            <w:r>
              <w:rPr>
                <w:rFonts w:hint="eastAsia" w:ascii="宋体" w:hAnsi="宋体" w:cs="宋体"/>
                <w:color w:val="auto"/>
                <w:kern w:val="0"/>
                <w:sz w:val="24"/>
                <w:lang w:bidi="ar"/>
              </w:rPr>
              <w:t>各</w:t>
            </w:r>
            <w:r>
              <w:rPr>
                <w:rFonts w:ascii="宋体" w:hAnsi="宋体" w:eastAsia="宋体"/>
                <w:color w:val="auto"/>
                <w:sz w:val="24"/>
                <w:szCs w:val="24"/>
              </w:rPr>
              <w:t>投标人针对本项目拟</w:t>
            </w:r>
            <w:r>
              <w:rPr>
                <w:rFonts w:hint="eastAsia" w:ascii="宋体" w:hAnsi="宋体"/>
                <w:color w:val="auto"/>
                <w:sz w:val="24"/>
                <w:szCs w:val="24"/>
                <w:lang w:val="en-US" w:eastAsia="zh-CN"/>
              </w:rPr>
              <w:t>配备</w:t>
            </w:r>
            <w:r>
              <w:rPr>
                <w:rFonts w:ascii="宋体" w:hAnsi="宋体" w:eastAsia="宋体"/>
                <w:color w:val="auto"/>
                <w:sz w:val="24"/>
                <w:szCs w:val="24"/>
              </w:rPr>
              <w:t>的</w:t>
            </w:r>
            <w:r>
              <w:rPr>
                <w:rFonts w:hint="eastAsia" w:ascii="宋体" w:hAnsi="宋体" w:eastAsia="宋体"/>
                <w:color w:val="auto"/>
                <w:sz w:val="24"/>
                <w:szCs w:val="24"/>
                <w:lang w:val="en-US" w:eastAsia="zh-CN"/>
              </w:rPr>
              <w:t>技术</w:t>
            </w:r>
            <w:r>
              <w:rPr>
                <w:rFonts w:ascii="宋体" w:hAnsi="宋体" w:eastAsia="宋体"/>
                <w:color w:val="auto"/>
                <w:sz w:val="24"/>
                <w:szCs w:val="24"/>
              </w:rPr>
              <w:t>负责人</w:t>
            </w:r>
            <w:r>
              <w:rPr>
                <w:rFonts w:ascii="宋体" w:hAnsi="宋体" w:eastAsia="宋体"/>
                <w:color w:val="auto"/>
                <w:sz w:val="24"/>
                <w:szCs w:val="24"/>
                <w:lang w:val="en-US" w:eastAsia="zh-CN"/>
              </w:rPr>
              <w:t>满足招标要求的情况</w:t>
            </w:r>
            <w:r>
              <w:rPr>
                <w:rFonts w:hint="eastAsia" w:ascii="宋体" w:hAnsi="宋体" w:cs="宋体"/>
                <w:color w:val="auto"/>
                <w:sz w:val="24"/>
              </w:rPr>
              <w:t>，</w:t>
            </w:r>
            <w:r>
              <w:rPr>
                <w:rFonts w:ascii="宋体" w:hAnsi="宋体" w:cs="宋体"/>
                <w:color w:val="auto"/>
                <w:sz w:val="24"/>
              </w:rPr>
              <w:t>由评委进行评分：</w:t>
            </w:r>
            <w:r>
              <w:rPr>
                <w:rFonts w:hint="default" w:ascii="宋体" w:hAnsi="宋体" w:eastAsia="宋体" w:cs="Times New Roman"/>
                <w:color w:val="auto"/>
                <w:sz w:val="24"/>
                <w:szCs w:val="24"/>
                <w:lang w:eastAsia="zh-CN"/>
              </w:rPr>
              <w:t>①</w:t>
            </w:r>
            <w:r>
              <w:rPr>
                <w:rFonts w:hint="eastAsia" w:ascii="宋体" w:hAnsi="宋体" w:cs="宋体"/>
                <w:color w:val="auto"/>
                <w:sz w:val="24"/>
              </w:rPr>
              <w:t>具备园林绿化专业高级职称的得1分；具备园林绿化专业中级职称的得0.5分；②</w:t>
            </w:r>
            <w:r>
              <w:rPr>
                <w:rFonts w:hint="default" w:ascii="宋体" w:hAnsi="宋体" w:cs="宋体"/>
                <w:color w:val="auto"/>
                <w:sz w:val="24"/>
              </w:rPr>
              <w:t>具有</w:t>
            </w:r>
            <w:r>
              <w:rPr>
                <w:rFonts w:hint="eastAsia" w:ascii="宋体" w:hAnsi="宋体" w:cs="宋体"/>
                <w:color w:val="auto"/>
                <w:sz w:val="24"/>
                <w:lang w:val="en-US" w:eastAsia="zh-CN"/>
              </w:rPr>
              <w:t>与本次招标同类项目（至少包含</w:t>
            </w:r>
            <w:r>
              <w:rPr>
                <w:rFonts w:hint="default" w:ascii="宋体" w:hAnsi="宋体" w:cs="宋体"/>
                <w:color w:val="auto"/>
                <w:sz w:val="24"/>
              </w:rPr>
              <w:t>城市公园绿化养护项目</w:t>
            </w:r>
            <w:r>
              <w:rPr>
                <w:rFonts w:hint="eastAsia" w:ascii="宋体" w:hAnsi="宋体" w:cs="宋体"/>
                <w:color w:val="auto"/>
                <w:sz w:val="24"/>
                <w:lang w:eastAsia="zh-CN"/>
              </w:rPr>
              <w:t>）</w:t>
            </w:r>
            <w:r>
              <w:rPr>
                <w:rFonts w:hint="eastAsia" w:ascii="宋体" w:hAnsi="宋体" w:cs="宋体"/>
                <w:color w:val="auto"/>
                <w:sz w:val="24"/>
                <w:highlight w:val="none"/>
              </w:rPr>
              <w:t>从业经验的</w:t>
            </w:r>
            <w:r>
              <w:rPr>
                <w:rFonts w:hint="eastAsia" w:ascii="宋体" w:hAnsi="宋体" w:cs="宋体"/>
                <w:color w:val="auto"/>
                <w:sz w:val="24"/>
                <w:highlight w:val="none"/>
                <w:lang w:eastAsia="zh-CN"/>
              </w:rPr>
              <w:t>，</w:t>
            </w:r>
            <w:r>
              <w:rPr>
                <w:rFonts w:hint="eastAsia" w:ascii="宋体" w:hAnsi="宋体" w:cs="宋体"/>
                <w:color w:val="auto"/>
                <w:sz w:val="24"/>
              </w:rPr>
              <w:t>每提供1份证明材料</w:t>
            </w:r>
            <w:r>
              <w:rPr>
                <w:rFonts w:hint="eastAsia" w:ascii="宋体" w:hAnsi="宋体" w:cs="宋体"/>
                <w:color w:val="auto"/>
                <w:sz w:val="24"/>
                <w:lang w:eastAsia="zh-CN"/>
              </w:rPr>
              <w:t>的</w:t>
            </w:r>
            <w:r>
              <w:rPr>
                <w:rFonts w:hint="eastAsia" w:ascii="宋体" w:hAnsi="宋体" w:cs="宋体"/>
                <w:color w:val="auto"/>
                <w:sz w:val="24"/>
              </w:rPr>
              <w:t>得1分</w:t>
            </w:r>
            <w:r>
              <w:rPr>
                <w:rFonts w:hint="eastAsia" w:ascii="宋体" w:hAnsi="宋体" w:cs="宋体"/>
                <w:color w:val="auto"/>
                <w:sz w:val="24"/>
                <w:lang w:eastAsia="zh-CN"/>
              </w:rPr>
              <w:t>，</w:t>
            </w:r>
            <w:r>
              <w:rPr>
                <w:rFonts w:hint="eastAsia" w:ascii="宋体" w:hAnsi="宋体" w:cs="宋体"/>
                <w:color w:val="auto"/>
                <w:sz w:val="24"/>
                <w:lang w:val="en-US" w:eastAsia="zh-CN"/>
              </w:rPr>
              <w:t>最多得1分；③</w:t>
            </w:r>
            <w:r>
              <w:rPr>
                <w:rFonts w:hint="eastAsia" w:ascii="宋体" w:hAnsi="宋体" w:cs="宋体"/>
                <w:color w:val="auto"/>
                <w:sz w:val="24"/>
              </w:rPr>
              <w:t>具有</w:t>
            </w:r>
            <w:r>
              <w:rPr>
                <w:rFonts w:hint="eastAsia" w:ascii="宋体" w:hAnsi="宋体" w:cs="宋体"/>
                <w:color w:val="auto"/>
                <w:sz w:val="24"/>
                <w:lang w:val="en-US" w:eastAsia="zh-CN"/>
              </w:rPr>
              <w:t>花田播种养护</w:t>
            </w:r>
            <w:r>
              <w:rPr>
                <w:rFonts w:hint="eastAsia" w:ascii="宋体" w:hAnsi="宋体" w:cs="宋体"/>
                <w:color w:val="auto"/>
                <w:sz w:val="24"/>
              </w:rPr>
              <w:t>从业经验的每提供1份证明材料</w:t>
            </w:r>
            <w:r>
              <w:rPr>
                <w:rFonts w:hint="eastAsia" w:ascii="宋体" w:hAnsi="宋体" w:cs="宋体"/>
                <w:color w:val="auto"/>
                <w:sz w:val="24"/>
                <w:lang w:eastAsia="zh-CN"/>
              </w:rPr>
              <w:t>的</w:t>
            </w:r>
            <w:r>
              <w:rPr>
                <w:rFonts w:hint="eastAsia" w:ascii="宋体" w:hAnsi="宋体" w:cs="宋体"/>
                <w:color w:val="auto"/>
                <w:sz w:val="24"/>
              </w:rPr>
              <w:t>得1分</w:t>
            </w:r>
            <w:r>
              <w:rPr>
                <w:rFonts w:hint="eastAsia" w:ascii="宋体" w:hAnsi="宋体" w:cs="宋体"/>
                <w:color w:val="auto"/>
                <w:sz w:val="24"/>
                <w:lang w:eastAsia="zh-CN"/>
              </w:rPr>
              <w:t>，</w:t>
            </w:r>
            <w:r>
              <w:rPr>
                <w:rFonts w:hint="eastAsia" w:ascii="宋体" w:hAnsi="宋体" w:cs="宋体"/>
                <w:color w:val="auto"/>
                <w:sz w:val="24"/>
                <w:lang w:val="en-US" w:eastAsia="zh-CN"/>
              </w:rPr>
              <w:t>最多得1分</w:t>
            </w:r>
            <w:r>
              <w:rPr>
                <w:rFonts w:hint="eastAsia" w:ascii="宋体" w:hAnsi="宋体" w:cs="宋体"/>
                <w:color w:val="auto"/>
                <w:sz w:val="24"/>
              </w:rPr>
              <w:t>。</w:t>
            </w:r>
            <w:r>
              <w:rPr>
                <w:rFonts w:ascii="宋体" w:hAnsi="宋体" w:eastAsia="宋体"/>
                <w:color w:val="auto"/>
                <w:sz w:val="24"/>
                <w:szCs w:val="24"/>
                <w:highlight w:val="none"/>
              </w:rPr>
              <w:t>注：</w:t>
            </w:r>
            <w:r>
              <w:rPr>
                <w:rFonts w:hint="default" w:ascii="宋体" w:hAnsi="宋体" w:eastAsia="宋体" w:cs="Times New Roman"/>
                <w:color w:val="auto"/>
                <w:sz w:val="24"/>
                <w:szCs w:val="24"/>
                <w:highlight w:val="none"/>
                <w:lang w:eastAsia="zh-CN"/>
              </w:rPr>
              <w:t>①</w:t>
            </w:r>
            <w:r>
              <w:rPr>
                <w:rFonts w:ascii="宋体" w:hAnsi="宋体" w:eastAsia="宋体" w:cs="Times New Roman"/>
                <w:color w:val="auto"/>
                <w:sz w:val="24"/>
                <w:szCs w:val="24"/>
                <w:highlight w:val="none"/>
              </w:rPr>
              <w:t>投</w:t>
            </w:r>
            <w:r>
              <w:rPr>
                <w:rFonts w:ascii="宋体" w:hAnsi="宋体" w:eastAsia="宋体"/>
                <w:color w:val="auto"/>
                <w:sz w:val="24"/>
                <w:szCs w:val="24"/>
                <w:highlight w:val="none"/>
              </w:rPr>
              <w:t>标人</w:t>
            </w:r>
            <w:r>
              <w:rPr>
                <w:rFonts w:hint="eastAsia" w:ascii="宋体" w:hAnsi="宋体" w:eastAsia="宋体"/>
                <w:color w:val="auto"/>
                <w:sz w:val="24"/>
                <w:szCs w:val="24"/>
                <w:highlight w:val="none"/>
                <w:lang w:val="en-US" w:eastAsia="zh-CN"/>
              </w:rPr>
              <w:t>须</w:t>
            </w:r>
            <w:r>
              <w:rPr>
                <w:rFonts w:ascii="宋体" w:hAnsi="宋体" w:eastAsia="宋体"/>
                <w:color w:val="auto"/>
                <w:sz w:val="24"/>
                <w:szCs w:val="24"/>
                <w:highlight w:val="none"/>
              </w:rPr>
              <w:t>提供</w:t>
            </w:r>
            <w:r>
              <w:rPr>
                <w:rFonts w:hint="eastAsia" w:ascii="宋体" w:hAnsi="宋体" w:eastAsia="宋体"/>
                <w:color w:val="auto"/>
                <w:sz w:val="24"/>
                <w:szCs w:val="24"/>
                <w:highlight w:val="none"/>
              </w:rPr>
              <w:t>人力资源和社会保障部门或行政主管部门核发的职称证书复印件</w:t>
            </w:r>
            <w:r>
              <w:rPr>
                <w:rFonts w:hint="eastAsia" w:ascii="宋体" w:hAnsi="宋体" w:eastAsia="宋体" w:cs="Times New Roman"/>
                <w:color w:val="auto"/>
                <w:sz w:val="24"/>
                <w:szCs w:val="24"/>
                <w:highlight w:val="none"/>
                <w:lang w:val="en-US" w:eastAsia="zh-CN"/>
              </w:rPr>
              <w:t>及</w:t>
            </w:r>
            <w:r>
              <w:rPr>
                <w:rFonts w:ascii="宋体" w:hAnsi="宋体" w:eastAsia="宋体" w:cs="Times New Roman"/>
                <w:color w:val="auto"/>
                <w:sz w:val="24"/>
                <w:szCs w:val="24"/>
                <w:highlight w:val="none"/>
              </w:rPr>
              <w:t>投标截止时间前六个月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不含投标截止时间的当月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中任一月份投标人为其缴纳的社保证明</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从社保窗口或从社保系统中打印的有盖章的社会保障资金缴纳证明材料</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rPr>
              <w:t>复印件</w:t>
            </w:r>
            <w:r>
              <w:rPr>
                <w:rFonts w:hint="eastAsia" w:ascii="宋体" w:hAnsi="宋体" w:eastAsia="宋体" w:cs="Times New Roman"/>
                <w:color w:val="auto"/>
                <w:sz w:val="24"/>
                <w:szCs w:val="24"/>
                <w:highlight w:val="none"/>
                <w:lang w:eastAsia="zh-CN"/>
              </w:rPr>
              <w:t>，</w:t>
            </w:r>
            <w:r>
              <w:rPr>
                <w:rFonts w:hint="eastAsia" w:ascii="宋体" w:hAnsi="宋体" w:eastAsia="宋体" w:cs="宋体"/>
                <w:b w:val="0"/>
                <w:bCs w:val="0"/>
                <w:color w:val="auto"/>
                <w:sz w:val="24"/>
                <w:szCs w:val="32"/>
                <w:highlight w:val="none"/>
                <w:lang w:val="en-US" w:eastAsia="zh-CN"/>
              </w:rPr>
              <w:t>否则不得分</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eastAsia="zh-CN"/>
              </w:rPr>
              <w:t>②</w:t>
            </w:r>
            <w:r>
              <w:rPr>
                <w:rFonts w:hint="eastAsia" w:ascii="宋体" w:hAnsi="宋体" w:eastAsia="宋体" w:cs="宋体"/>
                <w:color w:val="auto"/>
                <w:kern w:val="0"/>
                <w:sz w:val="24"/>
                <w:szCs w:val="24"/>
                <w:highlight w:val="none"/>
                <w:lang w:val="en-US" w:eastAsia="zh-CN" w:bidi="ar"/>
              </w:rPr>
              <w:t>技术</w:t>
            </w:r>
            <w:r>
              <w:rPr>
                <w:rFonts w:ascii="宋体" w:hAnsi="宋体" w:eastAsia="宋体" w:cs="宋体"/>
                <w:color w:val="auto"/>
                <w:kern w:val="0"/>
                <w:sz w:val="24"/>
                <w:szCs w:val="24"/>
                <w:highlight w:val="none"/>
                <w:lang w:val="en-US" w:eastAsia="zh-CN" w:bidi="ar"/>
              </w:rPr>
              <w:t>负责人</w:t>
            </w:r>
            <w:r>
              <w:rPr>
                <w:rFonts w:hint="default" w:ascii="宋体" w:hAnsi="宋体" w:eastAsia="宋体" w:cs="Times New Roman"/>
                <w:color w:val="auto"/>
                <w:sz w:val="24"/>
                <w:szCs w:val="24"/>
                <w:highlight w:val="none"/>
                <w:lang w:eastAsia="zh-CN"/>
              </w:rPr>
              <w:t>的从业证明材料提供：身份证复印件及从业经验列表</w:t>
            </w:r>
            <w:r>
              <w:rPr>
                <w:rFonts w:hint="eastAsia" w:ascii="宋体" w:hAnsi="宋体" w:cs="Times New Roman"/>
                <w:color w:val="auto"/>
                <w:sz w:val="24"/>
                <w:szCs w:val="24"/>
                <w:highlight w:val="none"/>
                <w:lang w:eastAsia="zh-CN"/>
              </w:rPr>
              <w:t>（</w:t>
            </w:r>
            <w:r>
              <w:rPr>
                <w:rFonts w:hint="default" w:ascii="宋体" w:hAnsi="宋体" w:eastAsia="宋体" w:cs="Times New Roman"/>
                <w:color w:val="auto"/>
                <w:sz w:val="24"/>
                <w:szCs w:val="24"/>
                <w:highlight w:val="none"/>
                <w:lang w:eastAsia="zh-CN"/>
              </w:rPr>
              <w:t>表中应注明：项目名称、合同</w:t>
            </w:r>
            <w:r>
              <w:rPr>
                <w:rFonts w:hint="eastAsia" w:ascii="宋体" w:hAnsi="宋体" w:cs="Times New Roman"/>
                <w:color w:val="auto"/>
                <w:sz w:val="24"/>
                <w:szCs w:val="24"/>
                <w:highlight w:val="none"/>
                <w:lang w:val="en-US" w:eastAsia="zh-CN"/>
              </w:rPr>
              <w:t>签订</w:t>
            </w:r>
            <w:r>
              <w:rPr>
                <w:rFonts w:hint="default" w:ascii="宋体" w:hAnsi="宋体" w:eastAsia="宋体" w:cs="Times New Roman"/>
                <w:color w:val="auto"/>
                <w:sz w:val="24"/>
                <w:szCs w:val="24"/>
                <w:highlight w:val="none"/>
                <w:lang w:eastAsia="zh-CN"/>
              </w:rPr>
              <w:t>时间、采购单位等</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eastAsia="zh-CN"/>
              </w:rPr>
              <w:t>须同时提供业绩项目中标公告（提供相关网站中标公告的下载网页并注明网址）、中标通知书</w:t>
            </w:r>
            <w:r>
              <w:rPr>
                <w:rFonts w:hint="eastAsia" w:ascii="宋体" w:hAnsi="宋体" w:cs="Times New Roman"/>
                <w:color w:val="auto"/>
                <w:sz w:val="24"/>
                <w:szCs w:val="24"/>
                <w:highlight w:val="none"/>
                <w:lang w:val="en-US" w:eastAsia="zh-CN"/>
              </w:rPr>
              <w:t>复印件和</w:t>
            </w:r>
            <w:r>
              <w:rPr>
                <w:rFonts w:hint="default" w:ascii="宋体" w:hAnsi="宋体" w:eastAsia="宋体" w:cs="Times New Roman"/>
                <w:color w:val="auto"/>
                <w:sz w:val="24"/>
                <w:szCs w:val="24"/>
                <w:highlight w:val="none"/>
                <w:lang w:eastAsia="zh-CN"/>
              </w:rPr>
              <w:t>合同文本</w:t>
            </w:r>
            <w:r>
              <w:rPr>
                <w:rFonts w:hint="eastAsia" w:ascii="宋体" w:hAnsi="宋体" w:cs="Times New Roman"/>
                <w:color w:val="auto"/>
                <w:sz w:val="24"/>
                <w:szCs w:val="24"/>
                <w:highlight w:val="none"/>
                <w:lang w:val="en-US" w:eastAsia="zh-CN"/>
              </w:rPr>
              <w:t>复印件</w:t>
            </w:r>
            <w:r>
              <w:rPr>
                <w:rFonts w:hint="eastAsia" w:ascii="宋体" w:hAnsi="宋体" w:eastAsia="宋体" w:cs="Times New Roman"/>
                <w:color w:val="auto"/>
                <w:sz w:val="24"/>
                <w:szCs w:val="24"/>
                <w:highlight w:val="none"/>
                <w:lang w:eastAsia="zh-CN"/>
              </w:rPr>
              <w:t>，</w:t>
            </w:r>
            <w:r>
              <w:rPr>
                <w:rFonts w:hint="eastAsia" w:ascii="宋体" w:hAnsi="宋体" w:eastAsia="宋体" w:cs="宋体"/>
                <w:b w:val="0"/>
                <w:bCs w:val="0"/>
                <w:color w:val="auto"/>
                <w:sz w:val="24"/>
                <w:szCs w:val="32"/>
                <w:highlight w:val="none"/>
                <w:lang w:val="en-US" w:eastAsia="zh-CN"/>
              </w:rPr>
              <w:t>否则不得分</w:t>
            </w:r>
            <w:r>
              <w:rPr>
                <w:rFonts w:hint="default" w:ascii="宋体" w:hAnsi="宋体" w:eastAsia="宋体" w:cs="Times New Roman"/>
                <w:color w:val="auto"/>
                <w:sz w:val="24"/>
                <w:szCs w:val="24"/>
                <w:highlight w:val="none"/>
                <w:lang w:eastAsia="zh-CN"/>
              </w:rPr>
              <w:t>。③按《关于贯彻执行《园林绿化工程建设管理规定》的通知》（闽建办风景〔2018〕11号）的规定，园林绿化专业是指园林、园林施工、园林规划设计、园林植物、风景园林、园林绿化、园艺、景观、环境艺术、市政园林等专业</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本项人员与其他评分项人员不得重复得分。</w:t>
            </w:r>
          </w:p>
        </w:tc>
      </w:tr>
      <w:tr w14:paraId="04678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6" w:hRule="atLeast"/>
        </w:trPr>
        <w:tc>
          <w:tcPr>
            <w:tcW w:w="1740" w:type="dxa"/>
            <w:vAlign w:val="center"/>
          </w:tcPr>
          <w:p w14:paraId="3F4C2940">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11</w:t>
            </w:r>
            <w:r>
              <w:rPr>
                <w:rFonts w:ascii="宋体" w:hAnsi="宋体" w:cs="宋体"/>
                <w:color w:val="auto"/>
                <w:kern w:val="0"/>
                <w:sz w:val="24"/>
              </w:rPr>
              <w:t>、</w:t>
            </w:r>
            <w:r>
              <w:rPr>
                <w:rFonts w:ascii="宋体" w:hAnsi="宋体" w:eastAsia="宋体" w:cs="宋体"/>
                <w:color w:val="auto"/>
                <w:sz w:val="24"/>
                <w:szCs w:val="24"/>
              </w:rPr>
              <w:t>养护工作总体</w:t>
            </w:r>
            <w:r>
              <w:rPr>
                <w:rFonts w:hint="eastAsia" w:ascii="宋体" w:hAnsi="宋体" w:cs="宋体"/>
                <w:color w:val="auto"/>
                <w:sz w:val="24"/>
                <w:szCs w:val="24"/>
                <w:lang w:eastAsia="zh-CN"/>
              </w:rPr>
              <w:t>计划</w:t>
            </w:r>
          </w:p>
        </w:tc>
        <w:tc>
          <w:tcPr>
            <w:tcW w:w="960" w:type="dxa"/>
            <w:vAlign w:val="center"/>
          </w:tcPr>
          <w:p w14:paraId="00295257">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ascii="宋体" w:hAnsi="宋体" w:cs="宋体"/>
                <w:color w:val="auto"/>
                <w:kern w:val="0"/>
                <w:sz w:val="24"/>
              </w:rPr>
              <w:t>3.00</w:t>
            </w:r>
          </w:p>
        </w:tc>
        <w:tc>
          <w:tcPr>
            <w:tcW w:w="940" w:type="dxa"/>
            <w:vAlign w:val="center"/>
          </w:tcPr>
          <w:p w14:paraId="23A5CB45">
            <w:pPr>
              <w:pStyle w:val="20"/>
              <w:keepNext w:val="0"/>
              <w:keepLines w:val="0"/>
              <w:pageBreakBefore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5885" w:type="dxa"/>
            <w:vAlign w:val="center"/>
          </w:tcPr>
          <w:p w14:paraId="2D8D6D62">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olor w:val="auto"/>
                <w:sz w:val="24"/>
                <w:szCs w:val="24"/>
                <w:lang w:val="en-US" w:eastAsia="zh-CN"/>
              </w:rPr>
            </w:pPr>
            <w:r>
              <w:rPr>
                <w:rFonts w:hint="eastAsia" w:ascii="宋体" w:hAnsi="宋体" w:cs="宋体"/>
                <w:color w:val="auto"/>
                <w:kern w:val="0"/>
                <w:sz w:val="24"/>
                <w:lang w:bidi="ar"/>
              </w:rPr>
              <w:t>根据各投标人针对本项</w:t>
            </w:r>
            <w:r>
              <w:rPr>
                <w:rFonts w:hint="eastAsia" w:ascii="宋体" w:hAnsi="宋体" w:cs="宋体"/>
                <w:color w:val="auto"/>
                <w:kern w:val="0"/>
                <w:sz w:val="24"/>
                <w:highlight w:val="none"/>
                <w:lang w:bidi="ar"/>
              </w:rPr>
              <w:t>目提供的范围内的植物生长习性、人文地理、气候环境等情况制定年养护计划、季度养护计划、月养护计划，以及养护方案</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包括但不限于养护</w:t>
            </w:r>
            <w:r>
              <w:rPr>
                <w:rFonts w:hint="eastAsia" w:ascii="宋体" w:hAnsi="宋体" w:cs="宋体"/>
                <w:color w:val="auto"/>
                <w:kern w:val="0"/>
                <w:sz w:val="24"/>
                <w:lang w:val="en-US" w:eastAsia="zh-CN" w:bidi="ar"/>
              </w:rPr>
              <w:t>工作总体计划、修剪、施肥、病虫害防治等日常养护工作、该项目养护工作可能发生的问题及解决方案等</w:t>
            </w:r>
            <w:r>
              <w:rPr>
                <w:rFonts w:hint="eastAsia" w:ascii="宋体" w:hAnsi="宋体" w:cs="宋体"/>
                <w:color w:val="auto"/>
                <w:kern w:val="0"/>
                <w:sz w:val="24"/>
                <w:lang w:eastAsia="zh-CN" w:bidi="ar"/>
              </w:rPr>
              <w:t>）</w:t>
            </w:r>
            <w:r>
              <w:rPr>
                <w:rFonts w:hint="eastAsia" w:ascii="宋体" w:hAnsi="宋体" w:cs="宋体"/>
                <w:color w:val="auto"/>
                <w:kern w:val="0"/>
                <w:sz w:val="24"/>
                <w:lang w:bidi="ar"/>
              </w:rPr>
              <w:t>，由评委进行评议：</w:t>
            </w:r>
            <w:r>
              <w:rPr>
                <w:rFonts w:hint="eastAsia" w:ascii="宋体" w:hAnsi="宋体" w:cs="宋体"/>
                <w:color w:val="auto"/>
                <w:kern w:val="0"/>
                <w:sz w:val="24"/>
                <w:lang w:eastAsia="zh-CN"/>
              </w:rPr>
              <w:t>方案内容能够完整、清晰阐述项目实施基础方案内容同时在确保方案实施的基础上增加有利于项目执行内容的得3分；方案能够内容完整、清晰的阐述基本要求且符合项目实际操作的得2.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分；有提供方案，但阐述内容未完整响应基本要求的得</w:t>
            </w:r>
            <w:r>
              <w:rPr>
                <w:rFonts w:hint="eastAsia" w:ascii="宋体" w:hAnsi="宋体" w:cs="宋体"/>
                <w:color w:val="auto"/>
                <w:kern w:val="0"/>
                <w:sz w:val="24"/>
                <w:lang w:val="en-US" w:eastAsia="zh-CN"/>
              </w:rPr>
              <w:t>2.8</w:t>
            </w:r>
            <w:r>
              <w:rPr>
                <w:rFonts w:hint="eastAsia" w:ascii="宋体" w:hAnsi="宋体" w:cs="宋体"/>
                <w:color w:val="auto"/>
                <w:kern w:val="0"/>
                <w:sz w:val="24"/>
                <w:lang w:eastAsia="zh-CN"/>
              </w:rPr>
              <w:t>分；未提供或方案与项目不符的不得分。</w:t>
            </w:r>
          </w:p>
        </w:tc>
      </w:tr>
      <w:tr w14:paraId="43F63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0E48C3C0">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12</w:t>
            </w:r>
            <w:r>
              <w:rPr>
                <w:rFonts w:hint="eastAsia" w:ascii="宋体" w:hAnsi="宋体" w:cs="宋体"/>
                <w:color w:val="auto"/>
                <w:kern w:val="0"/>
                <w:sz w:val="24"/>
              </w:rPr>
              <w:t>、花田设计方案</w:t>
            </w:r>
          </w:p>
        </w:tc>
        <w:tc>
          <w:tcPr>
            <w:tcW w:w="960" w:type="dxa"/>
            <w:vAlign w:val="center"/>
          </w:tcPr>
          <w:p w14:paraId="25F0C7C5">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5C7C29DF">
            <w:pPr>
              <w:keepNext w:val="0"/>
              <w:keepLines w:val="0"/>
              <w:pageBreakBefore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是</w:t>
            </w:r>
          </w:p>
        </w:tc>
        <w:tc>
          <w:tcPr>
            <w:tcW w:w="5885" w:type="dxa"/>
            <w:vAlign w:val="center"/>
          </w:tcPr>
          <w:p w14:paraId="45147E10">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eastAsia="宋体"/>
                <w:color w:val="auto"/>
                <w:sz w:val="24"/>
                <w:szCs w:val="24"/>
                <w:lang w:val="en-US" w:eastAsia="zh-CN"/>
              </w:rPr>
            </w:pPr>
            <w:r>
              <w:rPr>
                <w:rFonts w:hint="eastAsia" w:ascii="宋体" w:hAnsi="宋体" w:cs="宋体"/>
                <w:color w:val="auto"/>
                <w:kern w:val="0"/>
                <w:sz w:val="24"/>
                <w:lang w:bidi="ar"/>
              </w:rPr>
              <w:t>根据各投标人针对本项目提供的每年 “春节”、“5.18海交会”前后、“国庆节”三个节点，江边花田和鼓山桥下花田两处所制定草花播种方案和效果图，</w:t>
            </w:r>
            <w:r>
              <w:rPr>
                <w:rFonts w:hint="eastAsia" w:ascii="宋体" w:hAnsi="宋体" w:cs="宋体"/>
                <w:color w:val="auto"/>
                <w:kern w:val="0"/>
                <w:sz w:val="24"/>
                <w:lang w:val="en-US" w:eastAsia="zh-CN" w:bidi="ar"/>
              </w:rPr>
              <w:t>每处每节点提供1个草花播种方案（须含效果图）的得0.5分，满分3分。</w:t>
            </w:r>
          </w:p>
        </w:tc>
      </w:tr>
      <w:tr w14:paraId="23440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72C12E9F">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w:t>
            </w:r>
            <w:r>
              <w:rPr>
                <w:rFonts w:ascii="宋体" w:hAnsi="宋体" w:eastAsia="宋体" w:cs="宋体"/>
                <w:color w:val="auto"/>
                <w:kern w:val="0"/>
                <w:sz w:val="24"/>
                <w:szCs w:val="24"/>
                <w:lang w:val="en-US" w:eastAsia="zh-CN" w:bidi="ar"/>
              </w:rPr>
              <w:t>高级技术工人</w:t>
            </w:r>
          </w:p>
        </w:tc>
        <w:tc>
          <w:tcPr>
            <w:tcW w:w="960" w:type="dxa"/>
            <w:vAlign w:val="center"/>
          </w:tcPr>
          <w:p w14:paraId="3734F0C4">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01787307">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66958E9B">
            <w:pPr>
              <w:keepNext w:val="0"/>
              <w:keepLines w:val="0"/>
              <w:pageBreakBefore w:val="0"/>
              <w:widowControl/>
              <w:kinsoku/>
              <w:wordWrap/>
              <w:overflowPunct/>
              <w:topLinePunct w:val="0"/>
              <w:autoSpaceDE/>
              <w:autoSpaceDN/>
              <w:bidi w:val="0"/>
              <w:adjustRightInd/>
              <w:spacing w:line="340" w:lineRule="exact"/>
              <w:jc w:val="left"/>
              <w:textAlignment w:val="auto"/>
              <w:rPr>
                <w:rFonts w:ascii="宋体" w:hAnsi="宋体" w:cs="宋体"/>
                <w:color w:val="auto"/>
                <w:sz w:val="24"/>
              </w:rPr>
            </w:pPr>
            <w:r>
              <w:rPr>
                <w:rFonts w:hint="eastAsia" w:ascii="宋体" w:hAnsi="宋体" w:eastAsia="宋体"/>
                <w:color w:val="auto"/>
                <w:sz w:val="24"/>
                <w:szCs w:val="24"/>
                <w:lang w:val="en-US" w:eastAsia="zh-CN"/>
              </w:rPr>
              <w:t>根据</w:t>
            </w:r>
            <w:r>
              <w:rPr>
                <w:rFonts w:hint="eastAsia" w:ascii="宋体" w:hAnsi="宋体" w:cs="宋体"/>
                <w:color w:val="auto"/>
                <w:kern w:val="0"/>
                <w:sz w:val="24"/>
                <w:lang w:bidi="ar"/>
              </w:rPr>
              <w:t>各</w:t>
            </w:r>
            <w:r>
              <w:rPr>
                <w:rFonts w:ascii="宋体" w:hAnsi="宋体" w:eastAsia="宋体"/>
                <w:color w:val="auto"/>
                <w:sz w:val="24"/>
                <w:szCs w:val="24"/>
              </w:rPr>
              <w:t>投标人</w:t>
            </w:r>
            <w:r>
              <w:rPr>
                <w:rFonts w:hint="eastAsia" w:ascii="宋体" w:hAnsi="宋体"/>
                <w:color w:val="auto"/>
                <w:sz w:val="24"/>
                <w:szCs w:val="24"/>
                <w:lang w:eastAsia="zh-CN"/>
              </w:rPr>
              <w:t>公司具有</w:t>
            </w:r>
            <w:r>
              <w:rPr>
                <w:rFonts w:hint="eastAsia" w:ascii="宋体" w:hAnsi="宋体" w:eastAsia="宋体"/>
                <w:color w:val="auto"/>
                <w:sz w:val="24"/>
                <w:szCs w:val="24"/>
              </w:rPr>
              <w:t>的高级及以上园林绿化专业技术工人（包括</w:t>
            </w:r>
            <w:r>
              <w:rPr>
                <w:rFonts w:ascii="宋体" w:hAnsi="宋体" w:eastAsia="宋体" w:cs="宋体"/>
                <w:color w:val="auto"/>
                <w:sz w:val="24"/>
                <w:szCs w:val="24"/>
              </w:rPr>
              <w:t>绿化工或花卉工或花卉园艺师</w:t>
            </w:r>
            <w:r>
              <w:rPr>
                <w:rFonts w:hint="eastAsia" w:ascii="宋体" w:hAnsi="宋体" w:eastAsia="宋体"/>
                <w:color w:val="auto"/>
                <w:sz w:val="24"/>
                <w:szCs w:val="24"/>
              </w:rPr>
              <w:t>）情况</w:t>
            </w:r>
            <w:r>
              <w:rPr>
                <w:rFonts w:hint="eastAsia" w:ascii="宋体" w:hAnsi="宋体" w:cs="宋体"/>
                <w:color w:val="auto"/>
                <w:sz w:val="24"/>
              </w:rPr>
              <w:t>，</w:t>
            </w:r>
            <w:r>
              <w:rPr>
                <w:rFonts w:ascii="宋体" w:hAnsi="宋体" w:cs="宋体"/>
                <w:color w:val="auto"/>
                <w:sz w:val="24"/>
              </w:rPr>
              <w:t>由评委进行评分：</w:t>
            </w:r>
            <w:r>
              <w:rPr>
                <w:rFonts w:hint="eastAsia" w:ascii="宋体" w:hAnsi="宋体" w:cs="宋体"/>
                <w:color w:val="auto"/>
                <w:sz w:val="24"/>
              </w:rPr>
              <w:t>提供3</w:t>
            </w:r>
            <w:r>
              <w:rPr>
                <w:rFonts w:hint="eastAsia" w:ascii="宋体" w:hAnsi="宋体" w:cs="宋体"/>
                <w:color w:val="auto"/>
                <w:sz w:val="24"/>
                <w:lang w:val="en-US" w:eastAsia="zh-CN"/>
              </w:rPr>
              <w:t>人</w:t>
            </w:r>
            <w:r>
              <w:rPr>
                <w:rFonts w:hint="eastAsia" w:ascii="宋体" w:hAnsi="宋体" w:cs="宋体"/>
                <w:color w:val="auto"/>
                <w:sz w:val="24"/>
              </w:rPr>
              <w:t>的得1分，每增加1</w:t>
            </w:r>
            <w:r>
              <w:rPr>
                <w:rFonts w:hint="eastAsia" w:ascii="宋体" w:hAnsi="宋体" w:cs="宋体"/>
                <w:color w:val="auto"/>
                <w:sz w:val="24"/>
                <w:lang w:val="en-US" w:eastAsia="zh-CN"/>
              </w:rPr>
              <w:t>人</w:t>
            </w:r>
            <w:r>
              <w:rPr>
                <w:rFonts w:hint="eastAsia" w:ascii="宋体" w:hAnsi="宋体" w:cs="宋体"/>
                <w:color w:val="auto"/>
                <w:sz w:val="24"/>
                <w:lang w:eastAsia="zh-CN"/>
              </w:rPr>
              <w:t>的</w:t>
            </w:r>
            <w:r>
              <w:rPr>
                <w:rFonts w:hint="eastAsia" w:ascii="宋体" w:hAnsi="宋体" w:cs="宋体"/>
                <w:color w:val="auto"/>
                <w:sz w:val="24"/>
              </w:rPr>
              <w:t>得1分，满分3分。</w:t>
            </w:r>
            <w:r>
              <w:rPr>
                <w:rFonts w:ascii="宋体" w:hAnsi="宋体" w:eastAsia="宋体"/>
                <w:color w:val="auto"/>
                <w:sz w:val="24"/>
                <w:szCs w:val="24"/>
                <w:highlight w:val="none"/>
              </w:rPr>
              <w:t>注：</w:t>
            </w:r>
            <w:r>
              <w:rPr>
                <w:rFonts w:ascii="宋体" w:hAnsi="宋体" w:eastAsia="宋体" w:cs="Times New Roman"/>
                <w:color w:val="auto"/>
                <w:sz w:val="24"/>
                <w:szCs w:val="24"/>
                <w:highlight w:val="none"/>
              </w:rPr>
              <w:t>投</w:t>
            </w:r>
            <w:r>
              <w:rPr>
                <w:rFonts w:ascii="宋体" w:hAnsi="宋体" w:eastAsia="宋体"/>
                <w:color w:val="auto"/>
                <w:sz w:val="24"/>
                <w:szCs w:val="24"/>
                <w:highlight w:val="none"/>
              </w:rPr>
              <w:t>标人</w:t>
            </w:r>
            <w:r>
              <w:rPr>
                <w:rFonts w:hint="eastAsia" w:ascii="宋体" w:hAnsi="宋体" w:eastAsia="宋体"/>
                <w:color w:val="auto"/>
                <w:sz w:val="24"/>
                <w:szCs w:val="24"/>
                <w:highlight w:val="none"/>
                <w:lang w:val="en-US" w:eastAsia="zh-CN"/>
              </w:rPr>
              <w:t>须</w:t>
            </w:r>
            <w:r>
              <w:rPr>
                <w:rFonts w:ascii="宋体" w:hAnsi="宋体" w:eastAsia="宋体"/>
                <w:color w:val="auto"/>
                <w:sz w:val="24"/>
                <w:szCs w:val="24"/>
                <w:highlight w:val="none"/>
              </w:rPr>
              <w:t>提供</w:t>
            </w:r>
            <w:r>
              <w:rPr>
                <w:rFonts w:ascii="宋体" w:hAnsi="宋体" w:eastAsia="宋体" w:cs="宋体"/>
                <w:color w:val="auto"/>
                <w:sz w:val="24"/>
                <w:szCs w:val="24"/>
              </w:rPr>
              <w:t>行政主管部门或行政主管部门备案的职业技能等级评价机构颁发</w:t>
            </w:r>
            <w:r>
              <w:rPr>
                <w:rFonts w:hint="eastAsia" w:ascii="宋体" w:hAnsi="宋体" w:eastAsia="宋体" w:cs="宋体"/>
                <w:color w:val="auto"/>
                <w:sz w:val="24"/>
                <w:szCs w:val="24"/>
                <w:lang w:val="en-US" w:eastAsia="zh-CN"/>
              </w:rPr>
              <w:t>的</w:t>
            </w:r>
            <w:r>
              <w:rPr>
                <w:rFonts w:hint="eastAsia" w:ascii="宋体" w:hAnsi="宋体" w:eastAsia="宋体"/>
                <w:color w:val="auto"/>
                <w:sz w:val="24"/>
                <w:szCs w:val="24"/>
                <w:highlight w:val="none"/>
              </w:rPr>
              <w:t>证书复印件</w:t>
            </w:r>
            <w:r>
              <w:rPr>
                <w:rFonts w:hint="eastAsia" w:ascii="宋体" w:hAnsi="宋体" w:eastAsia="宋体" w:cs="Times New Roman"/>
                <w:color w:val="auto"/>
                <w:sz w:val="24"/>
                <w:szCs w:val="24"/>
                <w:highlight w:val="none"/>
                <w:lang w:val="en-US" w:eastAsia="zh-CN"/>
              </w:rPr>
              <w:t>及</w:t>
            </w:r>
            <w:r>
              <w:rPr>
                <w:rFonts w:ascii="宋体" w:hAnsi="宋体" w:eastAsia="宋体" w:cs="Times New Roman"/>
                <w:color w:val="auto"/>
                <w:sz w:val="24"/>
                <w:szCs w:val="24"/>
                <w:highlight w:val="none"/>
              </w:rPr>
              <w:t>投标截止时间前六个月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不含投标截止时间的当月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中任一月份投标人为其缴纳的社保证明</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从社保窗口或从社保系统中打印的有盖章的社会保障资金缴纳证明材料</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rPr>
              <w:t>复印件</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kern w:val="2"/>
                <w:sz w:val="24"/>
                <w:szCs w:val="24"/>
                <w:highlight w:val="none"/>
                <w:lang w:bidi="ar"/>
              </w:rPr>
              <w:t>未提供或提供不全的不得分。</w:t>
            </w:r>
            <w:r>
              <w:rPr>
                <w:rFonts w:hint="eastAsia" w:ascii="宋体" w:hAnsi="宋体" w:eastAsia="宋体" w:cs="Times New Roman"/>
                <w:color w:val="auto"/>
                <w:sz w:val="24"/>
                <w:szCs w:val="24"/>
                <w:highlight w:val="none"/>
                <w:lang w:eastAsia="zh-CN"/>
              </w:rPr>
              <w:t>本项人员与其他评分项人员不得重复得分。</w:t>
            </w:r>
          </w:p>
        </w:tc>
      </w:tr>
      <w:tr w14:paraId="13CAA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5663602D">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14、</w:t>
            </w:r>
            <w:r>
              <w:rPr>
                <w:rFonts w:ascii="宋体" w:hAnsi="宋体" w:eastAsia="宋体" w:cs="宋体"/>
                <w:color w:val="auto"/>
                <w:kern w:val="0"/>
                <w:sz w:val="24"/>
                <w:szCs w:val="24"/>
                <w:lang w:val="en-US" w:eastAsia="zh-CN" w:bidi="ar"/>
              </w:rPr>
              <w:t>中级技术工人</w:t>
            </w:r>
          </w:p>
        </w:tc>
        <w:tc>
          <w:tcPr>
            <w:tcW w:w="960" w:type="dxa"/>
            <w:vAlign w:val="center"/>
          </w:tcPr>
          <w:p w14:paraId="516A0A3D">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1D0AD203">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6DCC9D62">
            <w:pPr>
              <w:keepNext w:val="0"/>
              <w:keepLines w:val="0"/>
              <w:pageBreakBefore w:val="0"/>
              <w:widowControl/>
              <w:kinsoku/>
              <w:wordWrap/>
              <w:overflowPunct/>
              <w:topLinePunct w:val="0"/>
              <w:autoSpaceDE/>
              <w:autoSpaceDN/>
              <w:bidi w:val="0"/>
              <w:adjustRightInd/>
              <w:spacing w:line="340" w:lineRule="exact"/>
              <w:jc w:val="left"/>
              <w:textAlignment w:val="auto"/>
              <w:rPr>
                <w:rFonts w:ascii="宋体" w:hAnsi="宋体" w:cs="宋体"/>
                <w:color w:val="auto"/>
                <w:sz w:val="24"/>
              </w:rPr>
            </w:pPr>
            <w:r>
              <w:rPr>
                <w:rFonts w:hint="eastAsia" w:ascii="宋体" w:hAnsi="宋体" w:eastAsia="宋体"/>
                <w:color w:val="auto"/>
                <w:sz w:val="24"/>
                <w:szCs w:val="24"/>
                <w:lang w:val="en-US" w:eastAsia="zh-CN"/>
              </w:rPr>
              <w:t>根据</w:t>
            </w:r>
            <w:r>
              <w:rPr>
                <w:rFonts w:hint="eastAsia" w:ascii="宋体" w:hAnsi="宋体" w:cs="宋体"/>
                <w:color w:val="auto"/>
                <w:kern w:val="0"/>
                <w:sz w:val="24"/>
                <w:lang w:bidi="ar"/>
              </w:rPr>
              <w:t>各</w:t>
            </w:r>
            <w:r>
              <w:rPr>
                <w:rFonts w:ascii="宋体" w:hAnsi="宋体" w:eastAsia="宋体"/>
                <w:color w:val="auto"/>
                <w:sz w:val="24"/>
                <w:szCs w:val="24"/>
              </w:rPr>
              <w:t>投标人</w:t>
            </w:r>
            <w:r>
              <w:rPr>
                <w:rFonts w:hint="eastAsia" w:ascii="宋体" w:hAnsi="宋体"/>
                <w:color w:val="auto"/>
                <w:sz w:val="24"/>
                <w:szCs w:val="24"/>
                <w:lang w:eastAsia="zh-CN"/>
              </w:rPr>
              <w:t>公司具有</w:t>
            </w:r>
            <w:r>
              <w:rPr>
                <w:rFonts w:hint="eastAsia" w:ascii="宋体" w:hAnsi="宋体" w:eastAsia="宋体"/>
                <w:color w:val="auto"/>
                <w:sz w:val="24"/>
                <w:szCs w:val="24"/>
              </w:rPr>
              <w:t>的中级</w:t>
            </w:r>
            <w:r>
              <w:rPr>
                <w:rFonts w:hint="eastAsia" w:ascii="宋体" w:hAnsi="宋体"/>
                <w:color w:val="auto"/>
                <w:sz w:val="24"/>
                <w:szCs w:val="24"/>
                <w:lang w:val="en-US" w:eastAsia="zh-CN"/>
              </w:rPr>
              <w:t>及以上</w:t>
            </w:r>
            <w:r>
              <w:rPr>
                <w:rFonts w:hint="eastAsia" w:ascii="宋体" w:hAnsi="宋体" w:eastAsia="宋体"/>
                <w:color w:val="auto"/>
                <w:sz w:val="24"/>
                <w:szCs w:val="24"/>
              </w:rPr>
              <w:t>园林绿化专业技术工人（包括</w:t>
            </w:r>
            <w:r>
              <w:rPr>
                <w:rFonts w:ascii="宋体" w:hAnsi="宋体" w:eastAsia="宋体" w:cs="宋体"/>
                <w:color w:val="auto"/>
                <w:sz w:val="24"/>
                <w:szCs w:val="24"/>
              </w:rPr>
              <w:t>绿化工或花卉工或花卉园艺师</w:t>
            </w:r>
            <w:r>
              <w:rPr>
                <w:rFonts w:hint="eastAsia" w:ascii="宋体" w:hAnsi="宋体" w:eastAsia="宋体"/>
                <w:color w:val="auto"/>
                <w:sz w:val="24"/>
                <w:szCs w:val="24"/>
              </w:rPr>
              <w:t>）情况</w:t>
            </w:r>
            <w:r>
              <w:rPr>
                <w:rFonts w:hint="eastAsia" w:ascii="宋体" w:hAnsi="宋体" w:cs="宋体"/>
                <w:color w:val="auto"/>
                <w:sz w:val="24"/>
              </w:rPr>
              <w:t>，</w:t>
            </w:r>
            <w:r>
              <w:rPr>
                <w:rFonts w:ascii="宋体" w:hAnsi="宋体" w:cs="宋体"/>
                <w:color w:val="auto"/>
                <w:sz w:val="24"/>
              </w:rPr>
              <w:t>由评委进行评分：</w:t>
            </w:r>
            <w:r>
              <w:rPr>
                <w:rFonts w:hint="eastAsia" w:ascii="宋体" w:hAnsi="宋体" w:cs="宋体"/>
                <w:color w:val="auto"/>
                <w:sz w:val="24"/>
                <w:lang w:val="en-US" w:eastAsia="zh-CN"/>
              </w:rPr>
              <w:t>提供</w:t>
            </w:r>
            <w:r>
              <w:rPr>
                <w:rFonts w:ascii="宋体" w:hAnsi="宋体" w:cs="宋体"/>
                <w:color w:val="auto"/>
                <w:sz w:val="24"/>
                <w:lang w:val="en-US" w:eastAsia="zh-CN"/>
              </w:rPr>
              <w:t>中级及以上技术工人6人的得1分，每增加2人</w:t>
            </w:r>
            <w:r>
              <w:rPr>
                <w:rFonts w:hint="eastAsia" w:ascii="宋体" w:hAnsi="宋体" w:cs="宋体"/>
                <w:color w:val="auto"/>
                <w:sz w:val="24"/>
                <w:lang w:val="en-US" w:eastAsia="zh-CN"/>
              </w:rPr>
              <w:t>的</w:t>
            </w:r>
            <w:r>
              <w:rPr>
                <w:rFonts w:ascii="宋体" w:hAnsi="宋体" w:cs="宋体"/>
                <w:color w:val="auto"/>
                <w:sz w:val="24"/>
                <w:lang w:val="en-US" w:eastAsia="zh-CN"/>
              </w:rPr>
              <w:t>得1分，满分3分。</w:t>
            </w:r>
            <w:r>
              <w:rPr>
                <w:rFonts w:ascii="宋体" w:hAnsi="宋体" w:eastAsia="宋体"/>
                <w:color w:val="auto"/>
                <w:sz w:val="24"/>
                <w:szCs w:val="24"/>
                <w:highlight w:val="none"/>
              </w:rPr>
              <w:t>注：</w:t>
            </w:r>
            <w:r>
              <w:rPr>
                <w:rFonts w:ascii="宋体" w:hAnsi="宋体" w:eastAsia="宋体" w:cs="Times New Roman"/>
                <w:color w:val="auto"/>
                <w:sz w:val="24"/>
                <w:szCs w:val="24"/>
                <w:highlight w:val="none"/>
              </w:rPr>
              <w:t>投</w:t>
            </w:r>
            <w:r>
              <w:rPr>
                <w:rFonts w:ascii="宋体" w:hAnsi="宋体" w:eastAsia="宋体"/>
                <w:color w:val="auto"/>
                <w:sz w:val="24"/>
                <w:szCs w:val="24"/>
                <w:highlight w:val="none"/>
              </w:rPr>
              <w:t>标人</w:t>
            </w:r>
            <w:r>
              <w:rPr>
                <w:rFonts w:hint="eastAsia" w:ascii="宋体" w:hAnsi="宋体" w:eastAsia="宋体"/>
                <w:color w:val="auto"/>
                <w:sz w:val="24"/>
                <w:szCs w:val="24"/>
                <w:highlight w:val="none"/>
                <w:lang w:val="en-US" w:eastAsia="zh-CN"/>
              </w:rPr>
              <w:t>须</w:t>
            </w:r>
            <w:r>
              <w:rPr>
                <w:rFonts w:ascii="宋体" w:hAnsi="宋体" w:eastAsia="宋体"/>
                <w:color w:val="auto"/>
                <w:sz w:val="24"/>
                <w:szCs w:val="24"/>
                <w:highlight w:val="none"/>
              </w:rPr>
              <w:t>提供</w:t>
            </w:r>
            <w:r>
              <w:rPr>
                <w:rFonts w:ascii="宋体" w:hAnsi="宋体" w:eastAsia="宋体" w:cs="宋体"/>
                <w:color w:val="auto"/>
                <w:sz w:val="24"/>
                <w:szCs w:val="24"/>
              </w:rPr>
              <w:t>行政主管部门或行政主管部门备案的职业技能等级评价机构颁发</w:t>
            </w:r>
            <w:r>
              <w:rPr>
                <w:rFonts w:hint="eastAsia" w:ascii="宋体" w:hAnsi="宋体" w:eastAsia="宋体" w:cs="宋体"/>
                <w:color w:val="auto"/>
                <w:sz w:val="24"/>
                <w:szCs w:val="24"/>
                <w:lang w:val="en-US" w:eastAsia="zh-CN"/>
              </w:rPr>
              <w:t>的</w:t>
            </w:r>
            <w:r>
              <w:rPr>
                <w:rFonts w:hint="eastAsia" w:ascii="宋体" w:hAnsi="宋体" w:eastAsia="宋体"/>
                <w:color w:val="auto"/>
                <w:sz w:val="24"/>
                <w:szCs w:val="24"/>
                <w:highlight w:val="none"/>
              </w:rPr>
              <w:t>证书复印件</w:t>
            </w:r>
            <w:r>
              <w:rPr>
                <w:rFonts w:hint="eastAsia" w:ascii="宋体" w:hAnsi="宋体" w:eastAsia="宋体" w:cs="Times New Roman"/>
                <w:color w:val="auto"/>
                <w:sz w:val="24"/>
                <w:szCs w:val="24"/>
                <w:highlight w:val="none"/>
                <w:lang w:val="en-US" w:eastAsia="zh-CN"/>
              </w:rPr>
              <w:t>及</w:t>
            </w:r>
            <w:r>
              <w:rPr>
                <w:rFonts w:ascii="宋体" w:hAnsi="宋体" w:eastAsia="宋体" w:cs="Times New Roman"/>
                <w:color w:val="auto"/>
                <w:sz w:val="24"/>
                <w:szCs w:val="24"/>
                <w:highlight w:val="none"/>
              </w:rPr>
              <w:t>投标截止时间前六个月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不含投标截止时间的当月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中任一月份投标人为其缴纳的社保证明</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从社保窗口或从社保系统中打印的有盖章的社会保障资金缴纳证明材料</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rPr>
              <w:t>复印件</w:t>
            </w:r>
            <w:r>
              <w:rPr>
                <w:rFonts w:hint="eastAsia" w:ascii="宋体" w:hAnsi="宋体" w:cs="Times New Roman"/>
                <w:color w:val="auto"/>
                <w:sz w:val="24"/>
                <w:szCs w:val="24"/>
                <w:highlight w:val="none"/>
                <w:lang w:eastAsia="zh-CN"/>
              </w:rPr>
              <w:t>，</w:t>
            </w:r>
            <w:r>
              <w:rPr>
                <w:rFonts w:hint="default" w:ascii="宋体" w:hAnsi="宋体" w:eastAsia="宋体" w:cs="Times New Roman"/>
                <w:color w:val="auto"/>
                <w:kern w:val="2"/>
                <w:sz w:val="24"/>
                <w:szCs w:val="24"/>
                <w:highlight w:val="none"/>
                <w:lang w:bidi="ar"/>
              </w:rPr>
              <w:t>未提供或提供不全的不得分</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本项人员与其他评分项人员不得重复得分。</w:t>
            </w:r>
          </w:p>
        </w:tc>
      </w:tr>
      <w:tr w14:paraId="06700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5" w:hRule="atLeast"/>
        </w:trPr>
        <w:tc>
          <w:tcPr>
            <w:tcW w:w="1740" w:type="dxa"/>
            <w:vAlign w:val="center"/>
          </w:tcPr>
          <w:p w14:paraId="4D132ADF">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15、植保专职人员</w:t>
            </w:r>
          </w:p>
        </w:tc>
        <w:tc>
          <w:tcPr>
            <w:tcW w:w="960" w:type="dxa"/>
            <w:vAlign w:val="center"/>
          </w:tcPr>
          <w:p w14:paraId="07396EA4">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.00</w:t>
            </w:r>
          </w:p>
        </w:tc>
        <w:tc>
          <w:tcPr>
            <w:tcW w:w="940" w:type="dxa"/>
            <w:vAlign w:val="center"/>
          </w:tcPr>
          <w:p w14:paraId="23DD9215">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5635323B">
            <w:pPr>
              <w:keepNext w:val="0"/>
              <w:keepLines w:val="0"/>
              <w:pageBreakBefore w:val="0"/>
              <w:widowControl/>
              <w:kinsoku/>
              <w:wordWrap/>
              <w:overflowPunct/>
              <w:topLinePunct w:val="0"/>
              <w:autoSpaceDE/>
              <w:autoSpaceDN/>
              <w:bidi w:val="0"/>
              <w:adjustRightInd/>
              <w:spacing w:line="340" w:lineRule="exact"/>
              <w:jc w:val="left"/>
              <w:textAlignment w:val="auto"/>
              <w:rPr>
                <w:rFonts w:ascii="宋体" w:hAnsi="宋体" w:cs="宋体"/>
                <w:color w:val="auto"/>
                <w:sz w:val="24"/>
              </w:rPr>
            </w:pPr>
            <w:r>
              <w:rPr>
                <w:rFonts w:hint="eastAsia" w:ascii="宋体" w:hAnsi="宋体" w:eastAsia="宋体"/>
                <w:color w:val="auto"/>
                <w:sz w:val="24"/>
                <w:szCs w:val="24"/>
                <w:lang w:val="en-US" w:eastAsia="zh-CN"/>
              </w:rPr>
              <w:t>根据</w:t>
            </w:r>
            <w:r>
              <w:rPr>
                <w:rFonts w:hint="eastAsia" w:ascii="宋体" w:hAnsi="宋体" w:cs="宋体"/>
                <w:color w:val="auto"/>
                <w:kern w:val="0"/>
                <w:sz w:val="24"/>
                <w:lang w:bidi="ar"/>
              </w:rPr>
              <w:t>各</w:t>
            </w:r>
            <w:r>
              <w:rPr>
                <w:rFonts w:ascii="宋体" w:hAnsi="宋体" w:eastAsia="宋体"/>
                <w:color w:val="auto"/>
                <w:sz w:val="24"/>
                <w:szCs w:val="24"/>
              </w:rPr>
              <w:t>投标人针对本项目</w:t>
            </w:r>
            <w:r>
              <w:rPr>
                <w:rFonts w:hint="eastAsia" w:ascii="宋体" w:hAnsi="宋体" w:eastAsia="宋体"/>
                <w:color w:val="auto"/>
                <w:sz w:val="24"/>
                <w:szCs w:val="24"/>
              </w:rPr>
              <w:t>拟</w:t>
            </w:r>
            <w:r>
              <w:rPr>
                <w:rFonts w:hint="eastAsia" w:ascii="宋体" w:hAnsi="宋体"/>
                <w:color w:val="auto"/>
                <w:sz w:val="24"/>
                <w:szCs w:val="24"/>
                <w:lang w:val="en-US" w:eastAsia="zh-CN"/>
              </w:rPr>
              <w:t>配备</w:t>
            </w:r>
            <w:r>
              <w:rPr>
                <w:rFonts w:hint="eastAsia" w:ascii="宋体" w:hAnsi="宋体" w:eastAsia="宋体"/>
                <w:color w:val="auto"/>
                <w:sz w:val="24"/>
                <w:szCs w:val="24"/>
              </w:rPr>
              <w:t>的植保专业技术人员</w:t>
            </w:r>
            <w:r>
              <w:rPr>
                <w:rFonts w:hint="eastAsia" w:ascii="宋体" w:hAnsi="宋体" w:eastAsia="宋体"/>
                <w:color w:val="auto"/>
                <w:sz w:val="24"/>
                <w:szCs w:val="24"/>
                <w:lang w:val="en-US" w:eastAsia="zh-CN"/>
              </w:rPr>
              <w:t>情况</w:t>
            </w:r>
            <w:r>
              <w:rPr>
                <w:rFonts w:hint="eastAsia" w:ascii="宋体" w:hAnsi="宋体" w:cs="宋体"/>
                <w:color w:val="auto"/>
                <w:sz w:val="24"/>
              </w:rPr>
              <w:t>，</w:t>
            </w:r>
            <w:r>
              <w:rPr>
                <w:rFonts w:ascii="宋体" w:hAnsi="宋体" w:cs="宋体"/>
                <w:color w:val="auto"/>
                <w:sz w:val="24"/>
              </w:rPr>
              <w:t>由评委进行评分：</w:t>
            </w: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具有大专</w:t>
            </w:r>
            <w:r>
              <w:rPr>
                <w:rFonts w:hint="eastAsia" w:ascii="宋体" w:hAnsi="宋体" w:cs="宋体"/>
                <w:color w:val="auto"/>
                <w:sz w:val="24"/>
                <w:lang w:val="en-US" w:eastAsia="zh-CN"/>
              </w:rPr>
              <w:t>及</w:t>
            </w:r>
            <w:r>
              <w:rPr>
                <w:rFonts w:hint="eastAsia" w:ascii="宋体" w:hAnsi="宋体" w:cs="宋体"/>
                <w:color w:val="auto"/>
                <w:sz w:val="24"/>
              </w:rPr>
              <w:t>以上植保类或园林绿化类学历证书</w:t>
            </w:r>
            <w:r>
              <w:rPr>
                <w:rFonts w:hint="eastAsia" w:ascii="宋体" w:hAnsi="宋体" w:cs="宋体"/>
                <w:color w:val="auto"/>
                <w:sz w:val="24"/>
                <w:lang w:eastAsia="zh-CN"/>
              </w:rPr>
              <w:t>的</w:t>
            </w:r>
            <w:r>
              <w:rPr>
                <w:rFonts w:hint="eastAsia" w:ascii="宋体" w:hAnsi="宋体" w:cs="宋体"/>
                <w:color w:val="auto"/>
                <w:sz w:val="24"/>
              </w:rPr>
              <w:t>得1分；</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具有植保工证书或有害生物防治（制）员证书的得1分。</w:t>
            </w:r>
            <w:r>
              <w:rPr>
                <w:rFonts w:ascii="宋体" w:hAnsi="宋体" w:eastAsia="宋体"/>
                <w:color w:val="auto"/>
                <w:sz w:val="24"/>
                <w:szCs w:val="24"/>
                <w:highlight w:val="none"/>
              </w:rPr>
              <w:t>注：</w:t>
            </w:r>
            <w:r>
              <w:rPr>
                <w:rFonts w:hint="default" w:ascii="宋体" w:hAnsi="宋体" w:eastAsia="宋体" w:cs="Times New Roman"/>
                <w:color w:val="auto"/>
                <w:sz w:val="24"/>
                <w:szCs w:val="24"/>
                <w:highlight w:val="none"/>
                <w:lang w:eastAsia="zh-CN"/>
              </w:rPr>
              <w:t>①</w:t>
            </w:r>
            <w:r>
              <w:rPr>
                <w:rFonts w:ascii="宋体" w:hAnsi="宋体" w:eastAsia="宋体" w:cs="Times New Roman"/>
                <w:color w:val="auto"/>
                <w:sz w:val="24"/>
                <w:szCs w:val="24"/>
                <w:highlight w:val="none"/>
              </w:rPr>
              <w:t>投</w:t>
            </w:r>
            <w:r>
              <w:rPr>
                <w:rFonts w:ascii="宋体" w:hAnsi="宋体" w:eastAsia="宋体"/>
                <w:color w:val="auto"/>
                <w:sz w:val="24"/>
                <w:szCs w:val="24"/>
                <w:highlight w:val="none"/>
              </w:rPr>
              <w:t>标人</w:t>
            </w:r>
            <w:r>
              <w:rPr>
                <w:rFonts w:hint="eastAsia" w:ascii="宋体" w:hAnsi="宋体" w:eastAsia="宋体"/>
                <w:color w:val="auto"/>
                <w:sz w:val="24"/>
                <w:szCs w:val="24"/>
                <w:highlight w:val="none"/>
                <w:lang w:val="en-US" w:eastAsia="zh-CN"/>
              </w:rPr>
              <w:t>须</w:t>
            </w:r>
            <w:r>
              <w:rPr>
                <w:rFonts w:ascii="宋体" w:hAnsi="宋体" w:eastAsia="宋体"/>
                <w:color w:val="auto"/>
                <w:sz w:val="24"/>
                <w:szCs w:val="24"/>
                <w:highlight w:val="none"/>
              </w:rPr>
              <w:t>提供</w:t>
            </w:r>
            <w:r>
              <w:rPr>
                <w:rFonts w:hint="eastAsia" w:ascii="宋体" w:hAnsi="宋体" w:eastAsia="宋体"/>
                <w:color w:val="auto"/>
                <w:sz w:val="24"/>
                <w:szCs w:val="24"/>
                <w:highlight w:val="none"/>
                <w:lang w:val="en-US" w:eastAsia="zh-CN"/>
              </w:rPr>
              <w:t>学历证书</w:t>
            </w:r>
            <w:r>
              <w:rPr>
                <w:rFonts w:hint="eastAsia" w:ascii="宋体" w:hAnsi="宋体"/>
                <w:color w:val="auto"/>
                <w:sz w:val="24"/>
                <w:szCs w:val="24"/>
                <w:highlight w:val="none"/>
                <w:lang w:val="en-US" w:eastAsia="zh-CN"/>
              </w:rPr>
              <w:t>复印件</w:t>
            </w:r>
            <w:r>
              <w:rPr>
                <w:rFonts w:hint="eastAsia" w:ascii="宋体" w:hAnsi="宋体" w:eastAsia="宋体"/>
                <w:color w:val="auto"/>
                <w:sz w:val="24"/>
                <w:szCs w:val="24"/>
                <w:highlight w:val="none"/>
                <w:lang w:val="en-US" w:eastAsia="zh-CN"/>
              </w:rPr>
              <w:t>、</w:t>
            </w:r>
            <w:r>
              <w:rPr>
                <w:rFonts w:ascii="宋体" w:hAnsi="宋体" w:eastAsia="宋体" w:cs="宋体"/>
                <w:color w:val="auto"/>
                <w:sz w:val="24"/>
                <w:szCs w:val="24"/>
              </w:rPr>
              <w:t>行政主管部门或行政主管部门备案的职业技能等级评价机构颁发</w:t>
            </w:r>
            <w:r>
              <w:rPr>
                <w:rFonts w:hint="eastAsia" w:ascii="宋体" w:hAnsi="宋体" w:eastAsia="宋体" w:cs="宋体"/>
                <w:color w:val="auto"/>
                <w:sz w:val="24"/>
                <w:szCs w:val="24"/>
                <w:lang w:val="en-US" w:eastAsia="zh-CN"/>
              </w:rPr>
              <w:t>的</w:t>
            </w:r>
            <w:r>
              <w:rPr>
                <w:rFonts w:hint="eastAsia" w:ascii="宋体" w:hAnsi="宋体" w:eastAsia="宋体"/>
                <w:color w:val="auto"/>
                <w:sz w:val="24"/>
                <w:szCs w:val="24"/>
                <w:highlight w:val="none"/>
              </w:rPr>
              <w:t>证书复印件</w:t>
            </w:r>
            <w:r>
              <w:rPr>
                <w:rFonts w:hint="eastAsia" w:ascii="宋体" w:hAnsi="宋体" w:eastAsia="宋体" w:cs="Times New Roman"/>
                <w:color w:val="auto"/>
                <w:sz w:val="24"/>
                <w:szCs w:val="24"/>
                <w:highlight w:val="none"/>
                <w:lang w:val="en-US" w:eastAsia="zh-CN"/>
              </w:rPr>
              <w:t>及</w:t>
            </w:r>
            <w:r>
              <w:rPr>
                <w:rFonts w:ascii="宋体" w:hAnsi="宋体" w:eastAsia="宋体" w:cs="Times New Roman"/>
                <w:color w:val="auto"/>
                <w:sz w:val="24"/>
                <w:szCs w:val="24"/>
                <w:highlight w:val="none"/>
              </w:rPr>
              <w:t>投标截止时间前六个月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不含投标截止时间的当月</w:t>
            </w:r>
            <w:r>
              <w:rPr>
                <w:rFonts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中任一月份投标人为其缴纳的社保证明</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从社保窗口或从社保系统中打印的有盖章的社会保障资金缴纳证明材料</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rPr>
              <w:t>复印件</w:t>
            </w:r>
            <w:r>
              <w:rPr>
                <w:rFonts w:hint="eastAsia" w:ascii="宋体" w:hAnsi="宋体" w:eastAsia="宋体" w:cs="Times New Roman"/>
                <w:color w:val="auto"/>
                <w:sz w:val="24"/>
                <w:szCs w:val="24"/>
                <w:highlight w:val="none"/>
                <w:lang w:eastAsia="zh-CN"/>
              </w:rPr>
              <w:t>，</w:t>
            </w:r>
            <w:r>
              <w:rPr>
                <w:rFonts w:hint="eastAsia" w:ascii="宋体" w:hAnsi="宋体" w:eastAsia="宋体" w:cs="宋体"/>
                <w:b w:val="0"/>
                <w:bCs w:val="0"/>
                <w:color w:val="auto"/>
                <w:sz w:val="24"/>
                <w:szCs w:val="32"/>
                <w:highlight w:val="none"/>
                <w:lang w:val="en-US" w:eastAsia="zh-CN"/>
              </w:rPr>
              <w:t>否则不得分</w:t>
            </w:r>
            <w:r>
              <w:rPr>
                <w:rFonts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lang w:eastAsia="zh-CN"/>
              </w:rPr>
              <w:t>②按《关于贯彻执行《园林绿化工程建设管理规定》的通知》（闽建办风景〔2018〕11号）的规定，园林绿化专业是指园林、园林施工、园林规划设计、园林植物、风景园林、园林绿化、园艺、景观、环境艺术、市政园林等专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本项人员与其他评分项人员不得重复得分。</w:t>
            </w:r>
          </w:p>
        </w:tc>
      </w:tr>
      <w:tr w14:paraId="337F2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trPr>
        <w:tc>
          <w:tcPr>
            <w:tcW w:w="1740" w:type="dxa"/>
            <w:vAlign w:val="center"/>
          </w:tcPr>
          <w:p w14:paraId="379EDFCF">
            <w:pPr>
              <w:keepNext w:val="0"/>
              <w:keepLines w:val="0"/>
              <w:pageBreakBefore w:val="0"/>
              <w:widowControl/>
              <w:kinsoku/>
              <w:wordWrap/>
              <w:overflowPunct/>
              <w:topLinePunct w:val="0"/>
              <w:autoSpaceDE/>
              <w:autoSpaceDN/>
              <w:bidi w:val="0"/>
              <w:adjustRightInd/>
              <w:spacing w:line="340" w:lineRule="exact"/>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16、特种车辆（高空修剪车、吊车、洒水车等）数量情况</w:t>
            </w:r>
          </w:p>
        </w:tc>
        <w:tc>
          <w:tcPr>
            <w:tcW w:w="960" w:type="dxa"/>
            <w:vAlign w:val="center"/>
          </w:tcPr>
          <w:p w14:paraId="3CE75A0B">
            <w:pPr>
              <w:keepNext w:val="0"/>
              <w:keepLines w:val="0"/>
              <w:pageBreakBefore w:val="0"/>
              <w:widowControl/>
              <w:kinsoku/>
              <w:wordWrap/>
              <w:overflowPunct/>
              <w:topLinePunct w:val="0"/>
              <w:autoSpaceDE/>
              <w:autoSpaceDN/>
              <w:bidi w:val="0"/>
              <w:adjustRightInd/>
              <w:spacing w:line="340" w:lineRule="exact"/>
              <w:jc w:val="center"/>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3.00</w:t>
            </w:r>
          </w:p>
        </w:tc>
        <w:tc>
          <w:tcPr>
            <w:tcW w:w="940" w:type="dxa"/>
            <w:vAlign w:val="center"/>
          </w:tcPr>
          <w:p w14:paraId="04D1293D">
            <w:pPr>
              <w:keepNext w:val="0"/>
              <w:keepLines w:val="0"/>
              <w:pageBreakBefore w:val="0"/>
              <w:kinsoku/>
              <w:wordWrap/>
              <w:overflowPunct/>
              <w:topLinePunct w:val="0"/>
              <w:autoSpaceDE/>
              <w:autoSpaceDN/>
              <w:bidi w:val="0"/>
              <w:adjustRightInd/>
              <w:spacing w:line="3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是</w:t>
            </w:r>
          </w:p>
        </w:tc>
        <w:tc>
          <w:tcPr>
            <w:tcW w:w="5885" w:type="dxa"/>
            <w:vAlign w:val="center"/>
          </w:tcPr>
          <w:p w14:paraId="53711AF4">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宋体" w:hAnsi="宋体" w:cs="宋体"/>
                <w:color w:val="auto"/>
                <w:sz w:val="24"/>
              </w:rPr>
            </w:pPr>
            <w:r>
              <w:rPr>
                <w:rFonts w:hint="eastAsia" w:ascii="宋体" w:hAnsi="宋体" w:cs="宋体"/>
                <w:color w:val="auto"/>
                <w:sz w:val="24"/>
                <w:lang w:val="en-US" w:eastAsia="zh-CN"/>
              </w:rPr>
              <w:t>根据各投标人针对本项目所配备的车辆进行评分：（1）在满足招标文件基本要求（1辆）的基础上，增加1台高空修剪车的得1分，满分1分。（2）在满足招标文件基本要求（1辆）的基础上，每增加1台洒水车或吊车的得1分，满分2分。 注：若自有（不含子公司）车辆的，须提供车辆购置发票复印件、车辆照片（照片需体现车牌号）、车辆行驶证复印件</w:t>
            </w:r>
            <w:r>
              <w:rPr>
                <w:rFonts w:hint="eastAsia" w:ascii="宋体" w:hAnsi="宋体" w:cs="宋体"/>
                <w:color w:val="auto"/>
                <w:sz w:val="24"/>
              </w:rPr>
              <w:t>及车辆登记证</w:t>
            </w:r>
            <w:r>
              <w:rPr>
                <w:rFonts w:hint="eastAsia" w:ascii="宋体" w:hAnsi="宋体" w:cs="宋体"/>
                <w:color w:val="auto"/>
                <w:sz w:val="24"/>
                <w:lang w:val="en-US" w:eastAsia="zh-CN"/>
              </w:rPr>
              <w:t>复印件且以上证件所注明的所有人为投标人；若租赁车辆的，须提供租赁合同（租赁期限应能覆盖本项目的服务期限）、车辆照片（照片需体现车牌号）、</w:t>
            </w:r>
            <w:r>
              <w:rPr>
                <w:rFonts w:hint="eastAsia" w:ascii="宋体" w:hAnsi="宋体" w:cs="宋体"/>
                <w:color w:val="auto"/>
                <w:sz w:val="24"/>
              </w:rPr>
              <w:t>车辆行驶证</w:t>
            </w:r>
            <w:r>
              <w:rPr>
                <w:rFonts w:hint="eastAsia" w:ascii="宋体" w:hAnsi="宋体" w:cs="宋体"/>
                <w:color w:val="auto"/>
                <w:sz w:val="24"/>
                <w:lang w:val="en-US" w:eastAsia="zh-CN"/>
              </w:rPr>
              <w:t>复印件</w:t>
            </w:r>
            <w:r>
              <w:rPr>
                <w:rFonts w:hint="eastAsia" w:ascii="宋体" w:hAnsi="宋体" w:cs="宋体"/>
                <w:color w:val="auto"/>
                <w:sz w:val="24"/>
              </w:rPr>
              <w:t>及车辆登记证</w:t>
            </w:r>
            <w:r>
              <w:rPr>
                <w:rFonts w:hint="eastAsia" w:ascii="宋体" w:hAnsi="宋体" w:cs="宋体"/>
                <w:color w:val="auto"/>
                <w:sz w:val="24"/>
                <w:lang w:val="en-US" w:eastAsia="zh-CN"/>
              </w:rPr>
              <w:t>复印件，否则</w:t>
            </w:r>
            <w:r>
              <w:rPr>
                <w:rFonts w:hint="eastAsia" w:ascii="宋体" w:hAnsi="宋体" w:cs="宋体"/>
                <w:color w:val="auto"/>
                <w:sz w:val="24"/>
              </w:rPr>
              <w:t>不得分。</w:t>
            </w:r>
          </w:p>
        </w:tc>
      </w:tr>
      <w:tr w14:paraId="16392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trPr>
        <w:tc>
          <w:tcPr>
            <w:tcW w:w="1740" w:type="dxa"/>
            <w:vAlign w:val="center"/>
          </w:tcPr>
          <w:p w14:paraId="1512253C">
            <w:pPr>
              <w:keepNext w:val="0"/>
              <w:keepLines w:val="0"/>
              <w:pageBreakBefore w:val="0"/>
              <w:widowControl/>
              <w:kinsoku/>
              <w:wordWrap/>
              <w:overflowPunct/>
              <w:topLinePunct w:val="0"/>
              <w:autoSpaceDE/>
              <w:autoSpaceDN/>
              <w:bidi w:val="0"/>
              <w:adjustRightInd/>
              <w:spacing w:line="340" w:lineRule="exact"/>
              <w:jc w:val="both"/>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17、垃圾清运车或垃圾清运货车数量情况</w:t>
            </w:r>
          </w:p>
        </w:tc>
        <w:tc>
          <w:tcPr>
            <w:tcW w:w="960" w:type="dxa"/>
            <w:vAlign w:val="center"/>
          </w:tcPr>
          <w:p w14:paraId="49803AF6">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3.00</w:t>
            </w:r>
          </w:p>
        </w:tc>
        <w:tc>
          <w:tcPr>
            <w:tcW w:w="940" w:type="dxa"/>
            <w:vAlign w:val="center"/>
          </w:tcPr>
          <w:p w14:paraId="07308A0B">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64161C23">
            <w:pPr>
              <w:keepNext w:val="0"/>
              <w:keepLines w:val="0"/>
              <w:pageBreakBefore w:val="0"/>
              <w:widowControl/>
              <w:kinsoku/>
              <w:wordWrap/>
              <w:overflowPunct/>
              <w:topLinePunct w:val="0"/>
              <w:autoSpaceDE/>
              <w:autoSpaceDN/>
              <w:bidi w:val="0"/>
              <w:adjustRightInd/>
              <w:spacing w:line="340" w:lineRule="exact"/>
              <w:jc w:val="left"/>
              <w:textAlignment w:val="auto"/>
              <w:rPr>
                <w:rFonts w:ascii="宋体" w:hAnsi="宋体" w:cs="宋体"/>
                <w:color w:val="auto"/>
                <w:sz w:val="24"/>
              </w:rPr>
            </w:pPr>
            <w:r>
              <w:rPr>
                <w:rFonts w:hint="eastAsia" w:ascii="宋体" w:hAnsi="宋体" w:cs="宋体"/>
                <w:color w:val="auto"/>
                <w:sz w:val="24"/>
              </w:rPr>
              <w:t>根据</w:t>
            </w:r>
            <w:r>
              <w:rPr>
                <w:rFonts w:hint="eastAsia" w:ascii="宋体" w:hAnsi="宋体" w:cs="宋体"/>
                <w:color w:val="auto"/>
                <w:kern w:val="0"/>
                <w:sz w:val="24"/>
                <w:lang w:bidi="ar"/>
              </w:rPr>
              <w:t>各</w:t>
            </w:r>
            <w:r>
              <w:rPr>
                <w:rFonts w:hint="eastAsia" w:ascii="宋体" w:hAnsi="宋体" w:cs="宋体"/>
                <w:color w:val="auto"/>
                <w:sz w:val="24"/>
              </w:rPr>
              <w:t>投标人针对本项目所配备的的垃圾清运车（含压缩式）或垃圾清运货车的情况，</w:t>
            </w:r>
            <w:r>
              <w:rPr>
                <w:rFonts w:ascii="宋体" w:hAnsi="宋体" w:cs="宋体"/>
                <w:color w:val="auto"/>
                <w:sz w:val="24"/>
              </w:rPr>
              <w:t>由评委进行评分：</w:t>
            </w:r>
            <w:r>
              <w:rPr>
                <w:rFonts w:hint="eastAsia" w:ascii="宋体" w:hAnsi="宋体" w:cs="宋体"/>
                <w:color w:val="auto"/>
                <w:sz w:val="24"/>
              </w:rPr>
              <w:t>在满足招标文件基本要求（1辆）的基础上，每增加1辆</w:t>
            </w:r>
            <w:r>
              <w:rPr>
                <w:rFonts w:hint="eastAsia" w:ascii="宋体" w:hAnsi="宋体" w:cs="宋体"/>
                <w:color w:val="auto"/>
                <w:sz w:val="24"/>
                <w:lang w:eastAsia="zh-CN"/>
              </w:rPr>
              <w:t>的</w:t>
            </w:r>
            <w:r>
              <w:rPr>
                <w:rFonts w:hint="eastAsia" w:ascii="宋体" w:hAnsi="宋体" w:cs="宋体"/>
                <w:color w:val="auto"/>
                <w:sz w:val="24"/>
              </w:rPr>
              <w:t>得1分，满分3分。 注：</w:t>
            </w:r>
            <w:r>
              <w:rPr>
                <w:rFonts w:hint="eastAsia" w:ascii="宋体" w:hAnsi="宋体" w:cs="宋体"/>
                <w:color w:val="auto"/>
                <w:sz w:val="24"/>
                <w:lang w:val="en-US" w:eastAsia="zh-CN"/>
              </w:rPr>
              <w:t>若</w:t>
            </w:r>
            <w:r>
              <w:rPr>
                <w:rFonts w:hint="eastAsia" w:ascii="宋体" w:hAnsi="宋体" w:cs="宋体"/>
                <w:color w:val="auto"/>
                <w:sz w:val="24"/>
              </w:rPr>
              <w:t>自有（不含子公司）车辆</w:t>
            </w:r>
            <w:r>
              <w:rPr>
                <w:rFonts w:hint="eastAsia" w:ascii="宋体" w:hAnsi="宋体" w:cs="宋体"/>
                <w:color w:val="auto"/>
                <w:sz w:val="24"/>
                <w:lang w:val="en-US" w:eastAsia="zh-CN"/>
              </w:rPr>
              <w:t>的，</w:t>
            </w:r>
            <w:r>
              <w:rPr>
                <w:rFonts w:hint="eastAsia" w:ascii="宋体" w:hAnsi="宋体" w:cs="宋体"/>
                <w:color w:val="auto"/>
                <w:sz w:val="24"/>
              </w:rPr>
              <w:t>须提供</w:t>
            </w:r>
            <w:r>
              <w:rPr>
                <w:rFonts w:hint="eastAsia" w:ascii="宋体" w:hAnsi="宋体" w:cs="宋体"/>
                <w:color w:val="auto"/>
                <w:sz w:val="24"/>
                <w:lang w:val="en-US" w:eastAsia="zh-CN"/>
              </w:rPr>
              <w:t>车辆购置发票复印件</w:t>
            </w:r>
            <w:r>
              <w:rPr>
                <w:rFonts w:hint="eastAsia" w:ascii="宋体" w:hAnsi="宋体" w:cs="宋体"/>
                <w:color w:val="auto"/>
                <w:sz w:val="24"/>
              </w:rPr>
              <w:t>、车辆照片（照片需体现车牌号）、车辆行驶证</w:t>
            </w:r>
            <w:r>
              <w:rPr>
                <w:rFonts w:hint="eastAsia" w:ascii="宋体" w:hAnsi="宋体" w:cs="宋体"/>
                <w:color w:val="auto"/>
                <w:sz w:val="24"/>
                <w:lang w:val="en-US" w:eastAsia="zh-CN"/>
              </w:rPr>
              <w:t>复印件</w:t>
            </w:r>
            <w:r>
              <w:rPr>
                <w:rFonts w:hint="eastAsia" w:ascii="宋体" w:hAnsi="宋体" w:cs="宋体"/>
                <w:color w:val="auto"/>
                <w:sz w:val="24"/>
              </w:rPr>
              <w:t>及车辆登记证</w:t>
            </w:r>
            <w:r>
              <w:rPr>
                <w:rFonts w:hint="eastAsia" w:ascii="宋体" w:hAnsi="宋体" w:cs="宋体"/>
                <w:color w:val="auto"/>
                <w:sz w:val="24"/>
                <w:lang w:val="en-US" w:eastAsia="zh-CN"/>
              </w:rPr>
              <w:t>复印件</w:t>
            </w:r>
            <w:r>
              <w:rPr>
                <w:rFonts w:hint="eastAsia" w:ascii="宋体" w:hAnsi="宋体" w:cs="宋体"/>
                <w:color w:val="auto"/>
                <w:sz w:val="24"/>
              </w:rPr>
              <w:t>且以上证件所注明的所有人为投标人；</w:t>
            </w:r>
            <w:r>
              <w:rPr>
                <w:rFonts w:hint="eastAsia" w:ascii="宋体" w:hAnsi="宋体" w:cs="宋体"/>
                <w:color w:val="auto"/>
                <w:sz w:val="24"/>
                <w:lang w:val="en-US" w:eastAsia="zh-CN"/>
              </w:rPr>
              <w:t>若</w:t>
            </w:r>
            <w:r>
              <w:rPr>
                <w:rFonts w:hint="eastAsia" w:ascii="宋体" w:hAnsi="宋体" w:cs="宋体"/>
                <w:color w:val="auto"/>
                <w:sz w:val="24"/>
              </w:rPr>
              <w:t>租赁车辆</w:t>
            </w:r>
            <w:r>
              <w:rPr>
                <w:rFonts w:hint="eastAsia" w:ascii="宋体" w:hAnsi="宋体" w:cs="宋体"/>
                <w:color w:val="auto"/>
                <w:sz w:val="24"/>
                <w:lang w:val="en-US" w:eastAsia="zh-CN"/>
              </w:rPr>
              <w:t>的，</w:t>
            </w:r>
            <w:r>
              <w:rPr>
                <w:rFonts w:hint="eastAsia" w:ascii="宋体" w:hAnsi="宋体" w:cs="宋体"/>
                <w:color w:val="auto"/>
                <w:sz w:val="24"/>
              </w:rPr>
              <w:t>须提供租赁合同</w:t>
            </w:r>
            <w:r>
              <w:rPr>
                <w:rFonts w:hint="eastAsia" w:ascii="宋体" w:hAnsi="宋体" w:cs="宋体"/>
                <w:color w:val="auto"/>
                <w:sz w:val="24"/>
                <w:lang w:val="en-US" w:eastAsia="zh-CN"/>
              </w:rPr>
              <w:t>复印件</w:t>
            </w:r>
            <w:r>
              <w:rPr>
                <w:rFonts w:hint="eastAsia" w:ascii="宋体" w:hAnsi="宋体" w:cs="宋体"/>
                <w:color w:val="auto"/>
                <w:sz w:val="24"/>
              </w:rPr>
              <w:t>（租赁期限应能覆盖本项目的服务期限）、车辆照片（照片需体现车牌号）、车辆行驶证</w:t>
            </w:r>
            <w:r>
              <w:rPr>
                <w:rFonts w:hint="eastAsia" w:ascii="宋体" w:hAnsi="宋体" w:cs="宋体"/>
                <w:color w:val="auto"/>
                <w:sz w:val="24"/>
                <w:lang w:val="en-US" w:eastAsia="zh-CN"/>
              </w:rPr>
              <w:t>复印件</w:t>
            </w:r>
            <w:r>
              <w:rPr>
                <w:rFonts w:hint="eastAsia" w:ascii="宋体" w:hAnsi="宋体" w:cs="宋体"/>
                <w:color w:val="auto"/>
                <w:sz w:val="24"/>
              </w:rPr>
              <w:t>及车辆登记证</w:t>
            </w:r>
            <w:r>
              <w:rPr>
                <w:rFonts w:hint="eastAsia" w:ascii="宋体" w:hAnsi="宋体" w:cs="宋体"/>
                <w:color w:val="auto"/>
                <w:sz w:val="24"/>
                <w:lang w:val="en-US" w:eastAsia="zh-CN"/>
              </w:rPr>
              <w:t>复印件，否则</w:t>
            </w:r>
            <w:r>
              <w:rPr>
                <w:rFonts w:hint="eastAsia" w:ascii="宋体" w:hAnsi="宋体" w:cs="宋体"/>
                <w:color w:val="auto"/>
                <w:sz w:val="24"/>
              </w:rPr>
              <w:t>不得分。</w:t>
            </w:r>
          </w:p>
        </w:tc>
      </w:tr>
      <w:tr w14:paraId="05614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1740" w:type="dxa"/>
            <w:vAlign w:val="center"/>
          </w:tcPr>
          <w:p w14:paraId="5E81DAA4">
            <w:pPr>
              <w:keepNext w:val="0"/>
              <w:keepLines w:val="0"/>
              <w:pageBreakBefore w:val="0"/>
              <w:widowControl/>
              <w:kinsoku/>
              <w:wordWrap/>
              <w:overflowPunct/>
              <w:topLinePunct w:val="0"/>
              <w:autoSpaceDE/>
              <w:autoSpaceDN/>
              <w:bidi w:val="0"/>
              <w:adjustRightInd/>
              <w:spacing w:line="34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18、</w:t>
            </w:r>
            <w:r>
              <w:rPr>
                <w:rFonts w:hint="default" w:ascii="宋体" w:hAnsi="宋体" w:cs="宋体"/>
                <w:color w:val="auto"/>
                <w:sz w:val="24"/>
                <w:lang w:eastAsia="zh-CN"/>
              </w:rPr>
              <w:t>高压喷药</w:t>
            </w:r>
            <w:r>
              <w:rPr>
                <w:rFonts w:hint="eastAsia" w:ascii="宋体" w:hAnsi="宋体" w:cs="宋体"/>
                <w:color w:val="auto"/>
                <w:sz w:val="24"/>
                <w:lang w:val="en-US" w:eastAsia="zh-CN"/>
              </w:rPr>
              <w:t>车</w:t>
            </w:r>
            <w:r>
              <w:rPr>
                <w:rFonts w:hint="eastAsia" w:ascii="宋体" w:hAnsi="宋体" w:cs="宋体"/>
                <w:color w:val="auto"/>
                <w:kern w:val="0"/>
                <w:sz w:val="24"/>
                <w:lang w:val="en-US" w:eastAsia="zh-CN"/>
              </w:rPr>
              <w:t>数量情况</w:t>
            </w:r>
          </w:p>
        </w:tc>
        <w:tc>
          <w:tcPr>
            <w:tcW w:w="960" w:type="dxa"/>
            <w:vAlign w:val="center"/>
          </w:tcPr>
          <w:p w14:paraId="4128AF33">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宋体" w:hAnsi="宋体" w:cs="宋体"/>
                <w:color w:val="auto"/>
                <w:kern w:val="0"/>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.00</w:t>
            </w:r>
          </w:p>
        </w:tc>
        <w:tc>
          <w:tcPr>
            <w:tcW w:w="940" w:type="dxa"/>
            <w:vAlign w:val="center"/>
          </w:tcPr>
          <w:p w14:paraId="42943A57">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885" w:type="dxa"/>
            <w:vAlign w:val="center"/>
          </w:tcPr>
          <w:p w14:paraId="3BC48468">
            <w:pPr>
              <w:keepNext w:val="0"/>
              <w:keepLines w:val="0"/>
              <w:pageBreakBefore w:val="0"/>
              <w:widowControl/>
              <w:kinsoku/>
              <w:wordWrap/>
              <w:overflowPunct/>
              <w:topLinePunct w:val="0"/>
              <w:autoSpaceDE/>
              <w:autoSpaceDN/>
              <w:bidi w:val="0"/>
              <w:adjustRightInd/>
              <w:spacing w:line="340" w:lineRule="exact"/>
              <w:jc w:val="left"/>
              <w:textAlignment w:val="auto"/>
              <w:rPr>
                <w:rFonts w:ascii="宋体" w:hAnsi="宋体" w:cs="宋体"/>
                <w:color w:val="auto"/>
                <w:sz w:val="24"/>
              </w:rPr>
            </w:pPr>
            <w:r>
              <w:rPr>
                <w:rFonts w:hint="default" w:ascii="宋体" w:hAnsi="宋体" w:cs="宋体"/>
                <w:color w:val="auto"/>
                <w:sz w:val="24"/>
                <w:lang w:eastAsia="zh-CN"/>
              </w:rPr>
              <w:t>根据各投标人针对本项目所配备的</w:t>
            </w:r>
            <w:r>
              <w:rPr>
                <w:rFonts w:hint="eastAsia" w:ascii="宋体" w:hAnsi="宋体" w:cs="宋体"/>
                <w:color w:val="auto"/>
                <w:sz w:val="24"/>
                <w:lang w:val="en-US" w:eastAsia="zh-CN"/>
              </w:rPr>
              <w:t>手推式</w:t>
            </w:r>
            <w:r>
              <w:rPr>
                <w:rFonts w:hint="default" w:ascii="宋体" w:hAnsi="宋体" w:cs="宋体"/>
                <w:color w:val="auto"/>
                <w:sz w:val="24"/>
                <w:lang w:eastAsia="zh-CN"/>
              </w:rPr>
              <w:t>高压喷药</w:t>
            </w:r>
            <w:r>
              <w:rPr>
                <w:rFonts w:hint="eastAsia" w:ascii="宋体" w:hAnsi="宋体" w:cs="宋体"/>
                <w:color w:val="auto"/>
                <w:sz w:val="24"/>
                <w:lang w:val="en-US" w:eastAsia="zh-CN"/>
              </w:rPr>
              <w:t>车</w:t>
            </w:r>
            <w:r>
              <w:rPr>
                <w:rFonts w:hint="default" w:ascii="宋体" w:hAnsi="宋体" w:cs="宋体"/>
                <w:color w:val="auto"/>
                <w:sz w:val="24"/>
                <w:lang w:eastAsia="zh-CN"/>
              </w:rPr>
              <w:t>情况，由评委进行评分：在满足招标文件基本要求(1台)的情况下，每</w:t>
            </w:r>
            <w:r>
              <w:rPr>
                <w:rFonts w:hint="default" w:ascii="宋体" w:hAnsi="宋体" w:cs="宋体"/>
                <w:color w:val="auto"/>
                <w:sz w:val="24"/>
                <w:lang w:val="en-US" w:eastAsia="zh-CN"/>
              </w:rPr>
              <w:t>增加</w:t>
            </w:r>
            <w:r>
              <w:rPr>
                <w:rFonts w:hint="default" w:ascii="宋体" w:hAnsi="宋体" w:cs="宋体"/>
                <w:color w:val="auto"/>
                <w:sz w:val="24"/>
                <w:lang w:eastAsia="zh-CN"/>
              </w:rPr>
              <w:t>1台的得1分，满分</w:t>
            </w:r>
            <w:r>
              <w:rPr>
                <w:rFonts w:hint="default" w:ascii="宋体" w:hAnsi="宋体" w:cs="宋体"/>
                <w:color w:val="auto"/>
                <w:sz w:val="24"/>
                <w:lang w:val="en-US" w:eastAsia="zh-CN"/>
              </w:rPr>
              <w:t>2</w:t>
            </w:r>
            <w:r>
              <w:rPr>
                <w:rFonts w:hint="default" w:ascii="宋体" w:hAnsi="宋体" w:cs="宋体"/>
                <w:color w:val="auto"/>
                <w:sz w:val="24"/>
                <w:lang w:eastAsia="zh-CN"/>
              </w:rPr>
              <w:t>分。</w:t>
            </w:r>
            <w:r>
              <w:rPr>
                <w:rFonts w:hint="default" w:ascii="宋体" w:hAnsi="宋体" w:cs="宋体"/>
                <w:color w:val="auto"/>
                <w:sz w:val="24"/>
                <w:lang w:val="en-US" w:eastAsia="zh-CN"/>
              </w:rPr>
              <w:t>注：须提供</w:t>
            </w:r>
            <w:r>
              <w:rPr>
                <w:rFonts w:hint="default" w:ascii="宋体" w:hAnsi="宋体" w:cs="宋体"/>
                <w:color w:val="auto"/>
                <w:sz w:val="24"/>
                <w:lang w:eastAsia="zh-CN"/>
              </w:rPr>
              <w:t>购置发票复印件</w:t>
            </w:r>
            <w:r>
              <w:rPr>
                <w:rFonts w:hint="default" w:ascii="宋体" w:hAnsi="宋体" w:cs="宋体"/>
                <w:color w:val="auto"/>
                <w:sz w:val="24"/>
                <w:lang w:val="en-US" w:eastAsia="zh-CN"/>
              </w:rPr>
              <w:t>及</w:t>
            </w:r>
            <w:r>
              <w:rPr>
                <w:rFonts w:hint="default" w:ascii="宋体" w:hAnsi="宋体" w:cs="宋体"/>
                <w:color w:val="auto"/>
                <w:sz w:val="24"/>
                <w:lang w:eastAsia="zh-CN"/>
              </w:rPr>
              <w:t>设备照片，</w:t>
            </w:r>
            <w:r>
              <w:rPr>
                <w:rFonts w:hint="default" w:ascii="宋体" w:hAnsi="宋体" w:cs="宋体"/>
                <w:color w:val="auto"/>
                <w:sz w:val="24"/>
                <w:lang w:val="en-US" w:eastAsia="zh-CN"/>
              </w:rPr>
              <w:t>且</w:t>
            </w:r>
            <w:r>
              <w:rPr>
                <w:rFonts w:hint="default" w:ascii="宋体" w:hAnsi="宋体" w:cs="宋体"/>
                <w:color w:val="auto"/>
                <w:sz w:val="24"/>
                <w:lang w:eastAsia="zh-CN"/>
              </w:rPr>
              <w:t>购置发票所注明的所有人为投标人</w:t>
            </w:r>
            <w:r>
              <w:rPr>
                <w:rFonts w:hint="eastAsia" w:ascii="宋体" w:hAnsi="宋体" w:cs="宋体"/>
                <w:color w:val="auto"/>
                <w:sz w:val="24"/>
                <w:lang w:eastAsia="zh-CN"/>
              </w:rPr>
              <w:t>，</w:t>
            </w:r>
            <w:r>
              <w:rPr>
                <w:rFonts w:hint="default" w:ascii="宋体" w:hAnsi="宋体" w:cs="宋体"/>
                <w:color w:val="auto"/>
                <w:sz w:val="24"/>
                <w:lang w:val="en-US" w:eastAsia="zh-CN"/>
              </w:rPr>
              <w:t>否则</w:t>
            </w:r>
            <w:r>
              <w:rPr>
                <w:rFonts w:hint="default" w:ascii="宋体" w:hAnsi="宋体" w:cs="宋体"/>
                <w:color w:val="auto"/>
                <w:sz w:val="24"/>
                <w:lang w:eastAsia="zh-CN"/>
              </w:rPr>
              <w:t>不得分。</w:t>
            </w:r>
          </w:p>
        </w:tc>
      </w:tr>
    </w:tbl>
    <w:p w14:paraId="7033A678">
      <w:pPr>
        <w:pStyle w:val="20"/>
        <w:spacing w:line="360" w:lineRule="auto"/>
        <w:ind w:firstLine="480" w:firstLineChars="200"/>
        <w:jc w:val="both"/>
        <w:rPr>
          <w:rFonts w:asciiTheme="minorEastAsia" w:hAnsiTheme="minorEastAsia" w:cstheme="minorEastAsia"/>
          <w:color w:val="auto"/>
          <w:sz w:val="24"/>
          <w:szCs w:val="24"/>
        </w:rPr>
      </w:pPr>
      <w:r>
        <w:rPr>
          <w:rFonts w:asciiTheme="minorEastAsia" w:hAnsiTheme="minorEastAsia" w:cstheme="minorEastAsia"/>
          <w:color w:val="auto"/>
          <w:sz w:val="24"/>
          <w:szCs w:val="24"/>
        </w:rPr>
        <w:t>商务项（F3×A3）满分为</w:t>
      </w:r>
      <w:r>
        <w:rPr>
          <w:rFonts w:hint="eastAsia" w:asciiTheme="minorEastAsia" w:hAnsiTheme="minorEastAsia" w:cstheme="minorEastAsia"/>
          <w:color w:val="auto"/>
          <w:sz w:val="24"/>
          <w:szCs w:val="24"/>
          <w:lang w:val="en-US" w:eastAsia="zh-CN"/>
        </w:rPr>
        <w:t>14</w:t>
      </w:r>
      <w:r>
        <w:rPr>
          <w:rFonts w:asciiTheme="minorEastAsia" w:hAnsiTheme="minorEastAsia" w:cstheme="minorEastAsia"/>
          <w:color w:val="auto"/>
          <w:sz w:val="24"/>
          <w:szCs w:val="24"/>
        </w:rPr>
        <w:t>.00</w:t>
      </w:r>
      <w:r>
        <w:rPr>
          <w:rFonts w:asciiTheme="minorEastAsia" w:hAnsiTheme="minorEastAsia" w:cstheme="minorEastAsia"/>
          <w:color w:val="auto"/>
          <w:sz w:val="24"/>
          <w:szCs w:val="24"/>
          <w:lang w:eastAsia="zh-CN"/>
        </w:rPr>
        <w:t>00</w:t>
      </w:r>
      <w:r>
        <w:rPr>
          <w:rFonts w:asciiTheme="minorEastAsia" w:hAnsiTheme="minorEastAsia" w:cstheme="minorEastAsia"/>
          <w:color w:val="auto"/>
          <w:sz w:val="24"/>
          <w:szCs w:val="24"/>
        </w:rPr>
        <w:t>分</w:t>
      </w:r>
    </w:p>
    <w:tbl>
      <w:tblPr>
        <w:tblStyle w:val="15"/>
        <w:tblW w:w="0" w:type="auto"/>
        <w:tblInd w:w="-4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930"/>
        <w:gridCol w:w="970"/>
        <w:gridCol w:w="5965"/>
      </w:tblGrid>
      <w:tr w14:paraId="2BDDE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0" w:hRule="atLeast"/>
        </w:trPr>
        <w:tc>
          <w:tcPr>
            <w:tcW w:w="1785" w:type="dxa"/>
            <w:vAlign w:val="center"/>
          </w:tcPr>
          <w:p w14:paraId="353AB827">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930" w:type="dxa"/>
            <w:vAlign w:val="center"/>
          </w:tcPr>
          <w:p w14:paraId="5DF52201">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970" w:type="dxa"/>
            <w:vAlign w:val="center"/>
          </w:tcPr>
          <w:p w14:paraId="7B605DF3">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是否客观项</w:t>
            </w:r>
          </w:p>
        </w:tc>
        <w:tc>
          <w:tcPr>
            <w:tcW w:w="5965" w:type="dxa"/>
            <w:vAlign w:val="center"/>
          </w:tcPr>
          <w:p w14:paraId="78B12D01">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4FF75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388CE0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w:t>
            </w:r>
            <w:r>
              <w:rPr>
                <w:rFonts w:ascii="宋体" w:hAnsi="宋体" w:eastAsia="宋体" w:cs="宋体"/>
                <w:color w:val="auto"/>
                <w:kern w:val="0"/>
                <w:sz w:val="24"/>
                <w:szCs w:val="24"/>
                <w:lang w:val="en-US" w:eastAsia="zh-CN" w:bidi="ar"/>
              </w:rPr>
              <w:t>保险情况</w:t>
            </w:r>
          </w:p>
        </w:tc>
        <w:tc>
          <w:tcPr>
            <w:tcW w:w="930" w:type="dxa"/>
            <w:vAlign w:val="center"/>
          </w:tcPr>
          <w:p w14:paraId="5D759F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auto"/>
                <w:sz w:val="24"/>
              </w:rPr>
            </w:pPr>
            <w:r>
              <w:rPr>
                <w:rFonts w:hint="eastAsia" w:ascii="宋体" w:hAnsi="宋体" w:cs="宋体"/>
                <w:color w:val="auto"/>
                <w:kern w:val="0"/>
                <w:sz w:val="24"/>
              </w:rPr>
              <w:t>3.00</w:t>
            </w:r>
          </w:p>
        </w:tc>
        <w:tc>
          <w:tcPr>
            <w:tcW w:w="970" w:type="dxa"/>
            <w:vAlign w:val="center"/>
          </w:tcPr>
          <w:p w14:paraId="10C9E534">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rPr>
              <w:t>是</w:t>
            </w:r>
          </w:p>
        </w:tc>
        <w:tc>
          <w:tcPr>
            <w:tcW w:w="5965" w:type="dxa"/>
            <w:vAlign w:val="top"/>
          </w:tcPr>
          <w:p w14:paraId="7606ECA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sz w:val="24"/>
              </w:rPr>
            </w:pPr>
            <w:r>
              <w:rPr>
                <w:rFonts w:ascii="宋体" w:hAnsi="宋体" w:eastAsia="宋体" w:cs="宋体"/>
                <w:color w:val="auto"/>
                <w:kern w:val="0"/>
                <w:sz w:val="24"/>
                <w:szCs w:val="24"/>
                <w:lang w:val="en-US" w:eastAsia="zh-CN" w:bidi="ar"/>
              </w:rPr>
              <w:t>根据</w:t>
            </w:r>
            <w:r>
              <w:rPr>
                <w:rFonts w:hint="eastAsia" w:ascii="宋体" w:hAnsi="宋体" w:cs="宋体"/>
                <w:color w:val="auto"/>
                <w:kern w:val="0"/>
                <w:sz w:val="24"/>
              </w:rPr>
              <w:t>各</w:t>
            </w:r>
            <w:r>
              <w:rPr>
                <w:rFonts w:ascii="宋体" w:hAnsi="宋体" w:eastAsia="宋体" w:cs="宋体"/>
                <w:color w:val="auto"/>
                <w:kern w:val="0"/>
                <w:sz w:val="24"/>
                <w:szCs w:val="24"/>
                <w:lang w:val="en-US" w:eastAsia="zh-CN" w:bidi="ar"/>
              </w:rPr>
              <w:t>投标人承诺中标后为拟投入本项目的所有</w:t>
            </w:r>
            <w:r>
              <w:rPr>
                <w:rFonts w:hint="eastAsia" w:ascii="宋体" w:hAnsi="宋体" w:cs="宋体"/>
                <w:color w:val="auto"/>
                <w:kern w:val="0"/>
                <w:sz w:val="24"/>
                <w:szCs w:val="24"/>
                <w:lang w:val="en-US" w:eastAsia="zh-CN" w:bidi="ar"/>
              </w:rPr>
              <w:t>服务</w:t>
            </w:r>
            <w:r>
              <w:rPr>
                <w:rFonts w:ascii="宋体" w:hAnsi="宋体" w:eastAsia="宋体" w:cs="宋体"/>
                <w:color w:val="auto"/>
                <w:kern w:val="0"/>
                <w:sz w:val="24"/>
                <w:szCs w:val="24"/>
                <w:lang w:val="en-US" w:eastAsia="zh-CN" w:bidi="ar"/>
              </w:rPr>
              <w:t>人员购买的有效期内的人身意外保险情况（包括个人意外险或雇主责任险）</w:t>
            </w:r>
            <w:r>
              <w:rPr>
                <w:rFonts w:hint="eastAsia" w:ascii="宋体" w:hAnsi="宋体" w:cs="宋体"/>
                <w:color w:val="auto"/>
                <w:sz w:val="24"/>
              </w:rPr>
              <w:t>，</w:t>
            </w:r>
            <w:r>
              <w:rPr>
                <w:rFonts w:ascii="宋体" w:hAnsi="宋体" w:cs="宋体"/>
                <w:color w:val="auto"/>
                <w:sz w:val="24"/>
              </w:rPr>
              <w:t>由评委进行评分：</w:t>
            </w:r>
            <w:r>
              <w:rPr>
                <w:rFonts w:hint="eastAsia" w:ascii="宋体" w:hAnsi="宋体" w:eastAsia="宋体" w:cs="宋体"/>
                <w:color w:val="auto"/>
                <w:sz w:val="24"/>
                <w:szCs w:val="24"/>
              </w:rPr>
              <w:t>承诺中标后购买</w:t>
            </w:r>
            <w:r>
              <w:rPr>
                <w:rFonts w:hint="eastAsia" w:ascii="宋体" w:hAnsi="宋体" w:cs="宋体"/>
                <w:color w:val="auto"/>
                <w:sz w:val="24"/>
                <w:szCs w:val="24"/>
                <w:lang w:val="en-US" w:eastAsia="zh-CN"/>
              </w:rPr>
              <w:t>所有服务</w:t>
            </w:r>
            <w:r>
              <w:rPr>
                <w:rFonts w:hint="eastAsia" w:ascii="宋体" w:hAnsi="宋体" w:eastAsia="宋体" w:cs="宋体"/>
                <w:color w:val="auto"/>
                <w:sz w:val="24"/>
                <w:szCs w:val="24"/>
              </w:rPr>
              <w:t>人员死亡伤残赔付限额</w:t>
            </w:r>
            <w:r>
              <w:rPr>
                <w:rFonts w:hint="eastAsia" w:asciiTheme="minorHAnsi" w:hAnsiTheme="minorHAnsi" w:eastAsiaTheme="minorEastAsia" w:cstheme="minorBidi"/>
                <w:color w:val="auto"/>
                <w:sz w:val="24"/>
                <w:szCs w:val="24"/>
                <w:lang w:val="en-US" w:eastAsia="zh-CN"/>
              </w:rPr>
              <w:t>＞</w:t>
            </w:r>
            <w:r>
              <w:rPr>
                <w:rFonts w:hint="eastAsia" w:ascii="宋体" w:hAnsi="宋体" w:eastAsia="宋体" w:cs="宋体"/>
                <w:color w:val="auto"/>
                <w:sz w:val="24"/>
                <w:szCs w:val="24"/>
              </w:rPr>
              <w:t>100万元的得3分，其余不得分。注:</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投标人须提供承诺函（格式自拟），</w:t>
            </w:r>
            <w:r>
              <w:rPr>
                <w:rFonts w:hint="eastAsia" w:ascii="宋体" w:hAnsi="宋体" w:cs="宋体"/>
                <w:color w:val="auto"/>
                <w:sz w:val="24"/>
                <w:szCs w:val="24"/>
                <w:lang w:val="en-US" w:eastAsia="zh-CN"/>
              </w:rPr>
              <w:t>且</w:t>
            </w:r>
            <w:r>
              <w:rPr>
                <w:rFonts w:hint="eastAsia" w:ascii="宋体" w:hAnsi="宋体" w:eastAsia="宋体" w:cs="宋体"/>
                <w:color w:val="auto"/>
                <w:sz w:val="24"/>
                <w:szCs w:val="24"/>
              </w:rPr>
              <w:t>承诺</w:t>
            </w:r>
            <w:r>
              <w:rPr>
                <w:rFonts w:hint="eastAsia" w:ascii="宋体" w:hAnsi="宋体" w:cs="宋体"/>
                <w:color w:val="auto"/>
                <w:sz w:val="24"/>
                <w:szCs w:val="24"/>
                <w:lang w:val="en-US" w:eastAsia="zh-CN"/>
              </w:rPr>
              <w:t>保险</w:t>
            </w:r>
            <w:r>
              <w:rPr>
                <w:rFonts w:hint="eastAsia" w:ascii="宋体" w:hAnsi="宋体" w:eastAsia="宋体" w:cs="宋体"/>
                <w:color w:val="auto"/>
                <w:sz w:val="24"/>
                <w:szCs w:val="24"/>
                <w:lang w:val="en-US" w:eastAsia="zh-CN"/>
              </w:rPr>
              <w:t>期限至少涵盖本项目服务期</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否则</w:t>
            </w:r>
            <w:r>
              <w:rPr>
                <w:rFonts w:hint="eastAsia" w:ascii="宋体" w:hAnsi="宋体" w:eastAsia="宋体" w:cs="宋体"/>
                <w:color w:val="auto"/>
                <w:sz w:val="24"/>
                <w:szCs w:val="24"/>
              </w:rPr>
              <w:t>不得分。</w:t>
            </w:r>
          </w:p>
        </w:tc>
      </w:tr>
      <w:tr w14:paraId="4B782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0B71E6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、业绩</w:t>
            </w:r>
            <w:r>
              <w:rPr>
                <w:rFonts w:hint="eastAsia" w:ascii="宋体" w:hAnsi="宋体" w:cs="宋体"/>
                <w:color w:val="auto"/>
                <w:kern w:val="0"/>
                <w:sz w:val="24"/>
                <w:lang w:val="en-US" w:eastAsia="zh-CN"/>
              </w:rPr>
              <w:t>1</w:t>
            </w:r>
          </w:p>
        </w:tc>
        <w:tc>
          <w:tcPr>
            <w:tcW w:w="930" w:type="dxa"/>
            <w:vAlign w:val="center"/>
          </w:tcPr>
          <w:p w14:paraId="5C433C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3.00</w:t>
            </w:r>
          </w:p>
        </w:tc>
        <w:tc>
          <w:tcPr>
            <w:tcW w:w="970" w:type="dxa"/>
            <w:vAlign w:val="center"/>
          </w:tcPr>
          <w:p w14:paraId="66A965E3">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rPr>
              <w:t>是</w:t>
            </w:r>
          </w:p>
        </w:tc>
        <w:tc>
          <w:tcPr>
            <w:tcW w:w="5965" w:type="dxa"/>
            <w:vAlign w:val="center"/>
          </w:tcPr>
          <w:p w14:paraId="05A004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highlight w:val="none"/>
              </w:rPr>
              <w:t>根据各投标人提供的自202</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年1月1日</w:t>
            </w:r>
            <w:r>
              <w:rPr>
                <w:rFonts w:hint="eastAsia" w:ascii="宋体" w:hAnsi="宋体" w:cs="宋体"/>
                <w:color w:val="auto"/>
                <w:kern w:val="0"/>
                <w:sz w:val="24"/>
                <w:highlight w:val="none"/>
                <w:lang w:val="en-US" w:eastAsia="zh-CN"/>
              </w:rPr>
              <w:t>起</w:t>
            </w:r>
            <w:r>
              <w:rPr>
                <w:rFonts w:hint="eastAsia" w:ascii="宋体" w:hAnsi="宋体" w:cs="宋体"/>
                <w:color w:val="auto"/>
                <w:kern w:val="0"/>
                <w:sz w:val="24"/>
                <w:highlight w:val="none"/>
              </w:rPr>
              <w:t>至投标截止时间止（日期以合同签订时间为准）由投标人自身完成或正在履行</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与本次招标同类项目（</w:t>
            </w:r>
            <w:r>
              <w:rPr>
                <w:rFonts w:hint="eastAsia" w:ascii="宋体" w:hAnsi="宋体" w:cs="宋体"/>
                <w:color w:val="auto"/>
                <w:kern w:val="0"/>
                <w:sz w:val="24"/>
                <w:highlight w:val="none"/>
                <w:lang w:val="en-US" w:eastAsia="zh-CN"/>
              </w:rPr>
              <w:t>至少</w:t>
            </w:r>
            <w:r>
              <w:rPr>
                <w:rFonts w:hint="eastAsia" w:ascii="宋体" w:hAnsi="宋体" w:cs="宋体"/>
                <w:color w:val="auto"/>
                <w:kern w:val="0"/>
                <w:sz w:val="24"/>
                <w:highlight w:val="none"/>
              </w:rPr>
              <w:t>包</w:t>
            </w:r>
            <w:r>
              <w:rPr>
                <w:rFonts w:hint="eastAsia" w:ascii="宋体" w:hAnsi="宋体" w:cs="宋体"/>
                <w:color w:val="auto"/>
                <w:kern w:val="0"/>
                <w:sz w:val="24"/>
                <w:highlight w:val="none"/>
                <w:lang w:val="en-US" w:eastAsia="zh-CN"/>
              </w:rPr>
              <w:t>含</w:t>
            </w:r>
            <w:r>
              <w:rPr>
                <w:rFonts w:ascii="宋体" w:hAnsi="宋体" w:eastAsia="宋体" w:cs="宋体"/>
                <w:color w:val="auto"/>
                <w:kern w:val="0"/>
                <w:sz w:val="24"/>
                <w:szCs w:val="24"/>
                <w:highlight w:val="none"/>
                <w:lang w:val="en-US" w:eastAsia="zh-CN" w:bidi="ar"/>
              </w:rPr>
              <w:t>园林绿化的施工或养护项目</w:t>
            </w:r>
            <w:r>
              <w:rPr>
                <w:rFonts w:hint="eastAsia" w:ascii="宋体" w:hAnsi="宋体" w:cs="宋体"/>
                <w:color w:val="auto"/>
                <w:kern w:val="0"/>
                <w:sz w:val="24"/>
                <w:highlight w:val="none"/>
              </w:rPr>
              <w:t>）的业绩情况进行评分，每提供</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份</w:t>
            </w:r>
            <w:r>
              <w:rPr>
                <w:rFonts w:hint="eastAsia" w:ascii="宋体" w:hAnsi="宋体" w:cs="宋体"/>
                <w:color w:val="auto"/>
                <w:sz w:val="24"/>
                <w:highlight w:val="none"/>
              </w:rPr>
              <w:t>完整业绩证明材料</w:t>
            </w:r>
            <w:r>
              <w:rPr>
                <w:rFonts w:hint="eastAsia" w:ascii="宋体" w:hAnsi="宋体" w:cs="宋体"/>
                <w:color w:val="auto"/>
                <w:kern w:val="0"/>
                <w:sz w:val="24"/>
                <w:highlight w:val="none"/>
              </w:rPr>
              <w:t>的得1分，满分3分。注</w:t>
            </w:r>
            <w:r>
              <w:rPr>
                <w:rFonts w:hint="eastAsia" w:asciiTheme="minorEastAsia" w:hAnsiTheme="minorEastAsia" w:eastAsiaTheme="minorEastAsia" w:cstheme="minorEastAsia"/>
                <w:color w:val="auto"/>
                <w:sz w:val="24"/>
                <w:szCs w:val="24"/>
                <w:highlight w:val="none"/>
              </w:rPr>
              <w:t>：投标人须</w:t>
            </w:r>
            <w:r>
              <w:rPr>
                <w:rFonts w:hint="eastAsia" w:asciiTheme="minorEastAsia" w:hAnsiTheme="minorEastAsia" w:cstheme="minorEastAsia"/>
                <w:color w:val="auto"/>
                <w:sz w:val="24"/>
                <w:szCs w:val="24"/>
                <w:highlight w:val="none"/>
                <w:lang w:val="en-US" w:eastAsia="zh-CN"/>
              </w:rPr>
              <w:t>同时</w:t>
            </w:r>
            <w:r>
              <w:rPr>
                <w:rFonts w:hint="eastAsia" w:asciiTheme="minorEastAsia" w:hAnsiTheme="minorEastAsia" w:eastAsiaTheme="minorEastAsia" w:cstheme="minorEastAsia"/>
                <w:color w:val="auto"/>
                <w:sz w:val="24"/>
                <w:szCs w:val="24"/>
                <w:highlight w:val="none"/>
              </w:rPr>
              <w:t>提供该业绩项目的中标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公告（提供相关网站中标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公告的下载网页并注明网址）、中标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通知书复印件、采购合同文本复印件以及能够证明该业绩项目已经采购人验收合格的相关证明文件复印件</w:t>
            </w:r>
            <w:r>
              <w:rPr>
                <w:rFonts w:hint="eastAsia" w:asciiTheme="minorEastAsia" w:hAnsiTheme="minorEastAsia" w:eastAsiaTheme="minorEastAsia" w:cstheme="minorEastAsia"/>
                <w:color w:val="auto"/>
                <w:sz w:val="24"/>
                <w:szCs w:val="24"/>
                <w:highlight w:val="none"/>
                <w:lang w:val="en-US" w:eastAsia="zh-CN"/>
              </w:rPr>
              <w:t>或正在履约的相关证明材料复印件</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否则不得分</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本项与“业绩2”评分项中同一个项目不得重复得分。</w:t>
            </w:r>
          </w:p>
        </w:tc>
      </w:tr>
      <w:tr w14:paraId="415EE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04E404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lang w:val="en-US" w:eastAsia="zh-CN"/>
              </w:rPr>
              <w:t>3</w:t>
            </w:r>
            <w:r>
              <w:rPr>
                <w:rFonts w:hint="eastAsia" w:ascii="宋体" w:hAnsi="宋体" w:cs="宋体"/>
                <w:color w:val="auto"/>
                <w:kern w:val="0"/>
                <w:sz w:val="24"/>
              </w:rPr>
              <w:t>、业绩</w:t>
            </w:r>
            <w:r>
              <w:rPr>
                <w:rFonts w:hint="eastAsia" w:ascii="宋体" w:hAnsi="宋体" w:cs="宋体"/>
                <w:color w:val="auto"/>
                <w:kern w:val="0"/>
                <w:sz w:val="24"/>
                <w:lang w:val="en-US" w:eastAsia="zh-CN"/>
              </w:rPr>
              <w:t>2</w:t>
            </w:r>
          </w:p>
        </w:tc>
        <w:tc>
          <w:tcPr>
            <w:tcW w:w="930" w:type="dxa"/>
            <w:vAlign w:val="center"/>
          </w:tcPr>
          <w:p w14:paraId="5D33AE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rPr>
            </w:pPr>
            <w:r>
              <w:rPr>
                <w:rFonts w:hint="eastAsia" w:ascii="宋体" w:hAnsi="宋体" w:cs="宋体"/>
                <w:color w:val="auto"/>
                <w:kern w:val="0"/>
                <w:sz w:val="24"/>
              </w:rPr>
              <w:t>3.00</w:t>
            </w:r>
          </w:p>
        </w:tc>
        <w:tc>
          <w:tcPr>
            <w:tcW w:w="970" w:type="dxa"/>
            <w:vAlign w:val="center"/>
          </w:tcPr>
          <w:p w14:paraId="40F2F2E2">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 w:val="24"/>
                <w:szCs w:val="24"/>
                <w:lang w:eastAsia="zh-CN"/>
              </w:rPr>
            </w:pPr>
            <w:r>
              <w:rPr>
                <w:rFonts w:ascii="宋体" w:hAnsi="宋体" w:eastAsia="宋体" w:cs="宋体"/>
                <w:color w:val="auto"/>
                <w:sz w:val="24"/>
                <w:szCs w:val="24"/>
              </w:rPr>
              <w:t>是</w:t>
            </w:r>
          </w:p>
        </w:tc>
        <w:tc>
          <w:tcPr>
            <w:tcW w:w="5965" w:type="dxa"/>
            <w:vAlign w:val="center"/>
          </w:tcPr>
          <w:p w14:paraId="3E8699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宋体"/>
                <w:color w:val="auto"/>
                <w:sz w:val="24"/>
                <w:szCs w:val="24"/>
                <w:highlight w:val="none"/>
                <w:lang w:eastAsia="zh-CN"/>
              </w:rPr>
            </w:pPr>
            <w:r>
              <w:rPr>
                <w:rFonts w:hint="eastAsia" w:ascii="宋体" w:hAnsi="宋体" w:cs="宋体"/>
                <w:color w:val="auto"/>
                <w:kern w:val="0"/>
                <w:sz w:val="24"/>
                <w:highlight w:val="none"/>
              </w:rPr>
              <w:t>根据各投标人提供的自202</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年1月1日</w:t>
            </w:r>
            <w:r>
              <w:rPr>
                <w:rFonts w:hint="eastAsia" w:ascii="宋体" w:hAnsi="宋体" w:cs="宋体"/>
                <w:color w:val="auto"/>
                <w:kern w:val="0"/>
                <w:sz w:val="24"/>
                <w:highlight w:val="none"/>
                <w:lang w:val="en-US" w:eastAsia="zh-CN"/>
              </w:rPr>
              <w:t>起</w:t>
            </w:r>
            <w:r>
              <w:rPr>
                <w:rFonts w:hint="eastAsia" w:ascii="宋体" w:hAnsi="宋体" w:cs="宋体"/>
                <w:color w:val="auto"/>
                <w:kern w:val="0"/>
                <w:sz w:val="24"/>
                <w:highlight w:val="none"/>
              </w:rPr>
              <w:t>至投标截止时间止（日期以合同签订时间为准）由投标人自身完成或正在履行的与本次招标同类项目（</w:t>
            </w:r>
            <w:r>
              <w:rPr>
                <w:rFonts w:hint="eastAsia" w:ascii="宋体" w:hAnsi="宋体" w:cs="宋体"/>
                <w:color w:val="auto"/>
                <w:kern w:val="0"/>
                <w:sz w:val="24"/>
                <w:highlight w:val="none"/>
                <w:lang w:val="en-US" w:eastAsia="zh-CN"/>
              </w:rPr>
              <w:t>至少</w:t>
            </w:r>
            <w:r>
              <w:rPr>
                <w:rFonts w:hint="eastAsia" w:ascii="宋体" w:hAnsi="宋体" w:cs="宋体"/>
                <w:color w:val="auto"/>
                <w:kern w:val="0"/>
                <w:sz w:val="24"/>
                <w:highlight w:val="none"/>
              </w:rPr>
              <w:t>包</w:t>
            </w:r>
            <w:r>
              <w:rPr>
                <w:rFonts w:hint="eastAsia" w:ascii="宋体" w:hAnsi="宋体" w:cs="宋体"/>
                <w:color w:val="auto"/>
                <w:kern w:val="0"/>
                <w:sz w:val="24"/>
                <w:highlight w:val="none"/>
                <w:lang w:val="en-US" w:eastAsia="zh-CN"/>
              </w:rPr>
              <w:t>含</w:t>
            </w:r>
            <w:r>
              <w:rPr>
                <w:rFonts w:hint="eastAsia" w:ascii="宋体" w:hAnsi="宋体" w:cs="宋体"/>
                <w:color w:val="auto"/>
                <w:kern w:val="0"/>
                <w:sz w:val="24"/>
                <w:highlight w:val="none"/>
              </w:rPr>
              <w:t>专项草花播种项目或含有草花播种服务项目）的业绩情况进行评分，每提供</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份</w:t>
            </w:r>
            <w:r>
              <w:rPr>
                <w:rFonts w:hint="eastAsia" w:ascii="宋体" w:hAnsi="宋体" w:cs="宋体"/>
                <w:color w:val="auto"/>
                <w:sz w:val="24"/>
                <w:highlight w:val="none"/>
              </w:rPr>
              <w:t>完整业绩证明材料</w:t>
            </w:r>
            <w:r>
              <w:rPr>
                <w:rFonts w:hint="eastAsia" w:ascii="宋体" w:hAnsi="宋体" w:cs="宋体"/>
                <w:color w:val="auto"/>
                <w:kern w:val="0"/>
                <w:sz w:val="24"/>
                <w:highlight w:val="none"/>
              </w:rPr>
              <w:t>的得1分，满分3分。注</w:t>
            </w:r>
            <w:r>
              <w:rPr>
                <w:rFonts w:hint="eastAsia" w:asciiTheme="minorEastAsia" w:hAnsiTheme="minorEastAsia" w:eastAsiaTheme="minorEastAsia" w:cstheme="minorEastAsia"/>
                <w:color w:val="auto"/>
                <w:sz w:val="24"/>
                <w:szCs w:val="24"/>
                <w:highlight w:val="none"/>
              </w:rPr>
              <w:t>：投标人须</w:t>
            </w:r>
            <w:r>
              <w:rPr>
                <w:rFonts w:hint="eastAsia" w:asciiTheme="minorEastAsia" w:hAnsiTheme="minorEastAsia" w:cstheme="minorEastAsia"/>
                <w:color w:val="auto"/>
                <w:sz w:val="24"/>
                <w:szCs w:val="24"/>
                <w:highlight w:val="none"/>
                <w:lang w:val="en-US" w:eastAsia="zh-CN"/>
              </w:rPr>
              <w:t>同时</w:t>
            </w:r>
            <w:r>
              <w:rPr>
                <w:rFonts w:hint="eastAsia" w:asciiTheme="minorEastAsia" w:hAnsiTheme="minorEastAsia" w:eastAsiaTheme="minorEastAsia" w:cstheme="minorEastAsia"/>
                <w:color w:val="auto"/>
                <w:sz w:val="24"/>
                <w:szCs w:val="24"/>
                <w:highlight w:val="none"/>
              </w:rPr>
              <w:t>提供该业绩项目的中标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公告（提供相关网站中标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公告的下载网页并注明网址）、中标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通知书复印件、采购合同文本复印件以及能够证明该业绩项目已经采购人验收合格的相关证明文件复印件</w:t>
            </w:r>
            <w:r>
              <w:rPr>
                <w:rFonts w:hint="eastAsia" w:asciiTheme="minorEastAsia" w:hAnsiTheme="minorEastAsia" w:eastAsiaTheme="minorEastAsia" w:cstheme="minorEastAsia"/>
                <w:color w:val="auto"/>
                <w:sz w:val="24"/>
                <w:szCs w:val="24"/>
                <w:highlight w:val="none"/>
                <w:lang w:val="en-US" w:eastAsia="zh-CN"/>
              </w:rPr>
              <w:t>或正在履约的相关证明材料复印件</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否则不得分</w:t>
            </w:r>
            <w:r>
              <w:rPr>
                <w:rFonts w:hint="eastAsia" w:asciiTheme="minorEastAsia" w:hAnsiTheme="minorEastAsia" w:cstheme="minorEastAsia"/>
                <w:color w:val="auto"/>
                <w:sz w:val="24"/>
                <w:szCs w:val="24"/>
                <w:highlight w:val="none"/>
                <w:lang w:eastAsia="zh-CN"/>
              </w:rPr>
              <w:t>。</w:t>
            </w:r>
            <w:r>
              <w:rPr>
                <w:rFonts w:ascii="宋体" w:hAnsi="宋体" w:eastAsia="宋体" w:cs="宋体"/>
                <w:color w:val="auto"/>
                <w:kern w:val="0"/>
                <w:sz w:val="24"/>
                <w:szCs w:val="24"/>
                <w:highlight w:val="none"/>
                <w:lang w:val="en-US" w:eastAsia="zh-CN" w:bidi="ar"/>
              </w:rPr>
              <w:t>本项评分中“含有草花播种服务项目”不包括苗木采购、花卉租摆项目</w:t>
            </w:r>
            <w:r>
              <w:rPr>
                <w:rFonts w:hint="eastAsia" w:ascii="宋体" w:hAnsi="宋体" w:cs="宋体"/>
                <w:color w:val="auto"/>
                <w:kern w:val="0"/>
                <w:sz w:val="24"/>
                <w:szCs w:val="24"/>
                <w:highlight w:val="none"/>
                <w:lang w:val="en-US" w:eastAsia="zh-CN" w:bidi="ar"/>
              </w:rPr>
              <w:t>。</w:t>
            </w:r>
            <w:r>
              <w:rPr>
                <w:rFonts w:hint="eastAsia" w:asciiTheme="minorEastAsia" w:hAnsiTheme="minorEastAsia" w:cstheme="minorEastAsia"/>
                <w:color w:val="auto"/>
                <w:sz w:val="24"/>
                <w:szCs w:val="24"/>
                <w:highlight w:val="none"/>
                <w:lang w:val="en-US" w:eastAsia="zh-CN"/>
              </w:rPr>
              <w:t>本项与“业绩1”评分项中同一个项目不得重复得分。</w:t>
            </w:r>
          </w:p>
        </w:tc>
      </w:tr>
      <w:tr w14:paraId="2DA6F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85" w:type="dxa"/>
            <w:vAlign w:val="center"/>
          </w:tcPr>
          <w:p w14:paraId="732266FB">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4</w:t>
            </w:r>
            <w:r>
              <w:rPr>
                <w:rFonts w:ascii="宋体" w:hAnsi="宋体" w:eastAsia="宋体" w:cs="宋体"/>
                <w:color w:val="auto"/>
                <w:kern w:val="0"/>
                <w:sz w:val="24"/>
                <w:szCs w:val="24"/>
                <w:lang w:val="en-US" w:eastAsia="zh-CN" w:bidi="ar"/>
              </w:rPr>
              <w:t>、苗圃情况</w:t>
            </w:r>
          </w:p>
        </w:tc>
        <w:tc>
          <w:tcPr>
            <w:tcW w:w="930" w:type="dxa"/>
            <w:vAlign w:val="center"/>
          </w:tcPr>
          <w:p w14:paraId="25CA60EB">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auto"/>
                <w:sz w:val="24"/>
              </w:rPr>
            </w:pPr>
            <w:r>
              <w:rPr>
                <w:rFonts w:ascii="宋体" w:hAnsi="宋体" w:cs="宋体"/>
                <w:color w:val="auto"/>
                <w:sz w:val="24"/>
                <w:lang w:eastAsia="zh-CN"/>
              </w:rPr>
              <w:t>3.00</w:t>
            </w:r>
          </w:p>
        </w:tc>
        <w:tc>
          <w:tcPr>
            <w:tcW w:w="970" w:type="dxa"/>
            <w:vAlign w:val="center"/>
          </w:tcPr>
          <w:p w14:paraId="6E148C95">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是</w:t>
            </w:r>
          </w:p>
        </w:tc>
        <w:tc>
          <w:tcPr>
            <w:tcW w:w="5965" w:type="dxa"/>
            <w:vAlign w:val="top"/>
          </w:tcPr>
          <w:p w14:paraId="241967F2">
            <w:pPr>
              <w:pStyle w:val="20"/>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lang w:eastAsia="zh-CN"/>
              </w:rPr>
              <w:t>根据各</w:t>
            </w:r>
            <w:r>
              <w:rPr>
                <w:rFonts w:ascii="宋体" w:hAnsi="宋体" w:eastAsia="宋体" w:cs="宋体"/>
                <w:color w:val="auto"/>
                <w:kern w:val="0"/>
                <w:sz w:val="24"/>
                <w:szCs w:val="24"/>
                <w:lang w:val="en-US" w:eastAsia="zh-CN" w:bidi="ar"/>
              </w:rPr>
              <w:t>投标人承诺具有苗圃或培育基地的得3分。</w:t>
            </w:r>
            <w:r>
              <w:rPr>
                <w:rFonts w:hint="eastAsia" w:ascii="宋体" w:hAnsi="宋体" w:eastAsia="宋体" w:cs="宋体"/>
                <w:color w:val="auto"/>
                <w:kern w:val="0"/>
                <w:sz w:val="24"/>
                <w:szCs w:val="24"/>
                <w:lang w:val="en-US" w:eastAsia="zh-CN" w:bidi="ar"/>
              </w:rPr>
              <w:t>注：</w:t>
            </w:r>
            <w:r>
              <w:rPr>
                <w:rFonts w:ascii="宋体" w:hAnsi="宋体" w:eastAsia="宋体" w:cs="宋体"/>
                <w:color w:val="auto"/>
                <w:kern w:val="0"/>
                <w:sz w:val="24"/>
                <w:szCs w:val="24"/>
                <w:lang w:val="en-US" w:eastAsia="zh-CN" w:bidi="ar"/>
              </w:rPr>
              <w:t>须提供承诺函（格式自拟），</w:t>
            </w:r>
            <w:r>
              <w:rPr>
                <w:rFonts w:hint="eastAsia" w:ascii="宋体" w:hAnsi="宋体" w:eastAsia="宋体" w:cs="宋体"/>
                <w:color w:val="auto"/>
                <w:kern w:val="0"/>
                <w:sz w:val="24"/>
                <w:szCs w:val="24"/>
                <w:lang w:val="en-US" w:eastAsia="zh-CN" w:bidi="ar"/>
              </w:rPr>
              <w:t>否则不得分</w:t>
            </w:r>
            <w:r>
              <w:rPr>
                <w:rFonts w:ascii="宋体" w:hAnsi="宋体" w:eastAsia="宋体" w:cs="宋体"/>
                <w:color w:val="auto"/>
                <w:kern w:val="0"/>
                <w:sz w:val="24"/>
                <w:szCs w:val="24"/>
                <w:lang w:val="en-US" w:eastAsia="zh-CN" w:bidi="ar"/>
              </w:rPr>
              <w:t>。</w:t>
            </w:r>
          </w:p>
        </w:tc>
      </w:tr>
      <w:tr w14:paraId="60457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3E190125">
            <w:pPr>
              <w:pStyle w:val="20"/>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cs="宋体"/>
                <w:color w:val="auto"/>
                <w:sz w:val="24"/>
              </w:rPr>
            </w:pP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、应急响应时间</w:t>
            </w:r>
          </w:p>
        </w:tc>
        <w:tc>
          <w:tcPr>
            <w:tcW w:w="930" w:type="dxa"/>
            <w:vAlign w:val="center"/>
          </w:tcPr>
          <w:p w14:paraId="5F6FE561">
            <w:pPr>
              <w:pStyle w:val="20"/>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auto"/>
                <w:sz w:val="24"/>
                <w:lang w:eastAsia="zh-CN"/>
              </w:rPr>
            </w:pPr>
            <w:r>
              <w:rPr>
                <w:rFonts w:hint="eastAsia" w:ascii="宋体" w:hAnsi="宋体" w:cs="宋体"/>
                <w:color w:val="auto"/>
                <w:sz w:val="24"/>
                <w:lang w:val="en-US" w:eastAsia="zh-CN"/>
              </w:rPr>
              <w:t>2.00</w:t>
            </w:r>
          </w:p>
        </w:tc>
        <w:tc>
          <w:tcPr>
            <w:tcW w:w="970" w:type="dxa"/>
            <w:vAlign w:val="center"/>
          </w:tcPr>
          <w:p w14:paraId="540ACBB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auto"/>
                <w:sz w:val="24"/>
                <w:lang w:eastAsia="zh-CN"/>
              </w:rPr>
            </w:pPr>
            <w:r>
              <w:rPr>
                <w:rFonts w:ascii="宋体" w:hAnsi="宋体" w:eastAsia="宋体" w:cs="宋体"/>
                <w:color w:val="auto"/>
                <w:sz w:val="24"/>
                <w:szCs w:val="24"/>
              </w:rPr>
              <w:t>是</w:t>
            </w:r>
          </w:p>
        </w:tc>
        <w:tc>
          <w:tcPr>
            <w:tcW w:w="5965" w:type="dxa"/>
            <w:vAlign w:val="top"/>
          </w:tcPr>
          <w:p w14:paraId="7B5E49A4">
            <w:pPr>
              <w:pStyle w:val="20"/>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auto"/>
                <w:sz w:val="24"/>
                <w:szCs w:val="24"/>
                <w:lang w:eastAsia="zh-CN"/>
              </w:rPr>
            </w:pPr>
            <w:r>
              <w:rPr>
                <w:rFonts w:ascii="宋体" w:hAnsi="宋体" w:eastAsia="宋体" w:cs="宋体"/>
                <w:color w:val="auto"/>
                <w:kern w:val="0"/>
                <w:sz w:val="24"/>
                <w:szCs w:val="24"/>
                <w:lang w:val="en-US" w:eastAsia="zh-CN" w:bidi="ar"/>
              </w:rPr>
              <w:t>根据</w:t>
            </w:r>
            <w:r>
              <w:rPr>
                <w:rFonts w:hint="eastAsia" w:ascii="宋体" w:hAnsi="宋体" w:eastAsia="宋体" w:cs="宋体"/>
                <w:color w:val="auto"/>
                <w:sz w:val="24"/>
                <w:szCs w:val="24"/>
                <w:lang w:val="en-US" w:eastAsia="zh-CN"/>
              </w:rPr>
              <w:t>各</w:t>
            </w:r>
            <w:r>
              <w:rPr>
                <w:rFonts w:ascii="宋体" w:hAnsi="宋体" w:eastAsia="宋体" w:cs="宋体"/>
                <w:color w:val="auto"/>
                <w:kern w:val="0"/>
                <w:sz w:val="24"/>
                <w:szCs w:val="24"/>
                <w:lang w:val="en-US" w:eastAsia="zh-CN" w:bidi="ar"/>
              </w:rPr>
              <w:t>投标人针对突发任务及因发生不可抗力事件的紧急响应承诺</w:t>
            </w:r>
            <w:r>
              <w:rPr>
                <w:rFonts w:hint="eastAsia" w:ascii="宋体" w:hAnsi="宋体" w:eastAsia="宋体" w:cs="宋体"/>
                <w:color w:val="auto"/>
                <w:kern w:val="0"/>
                <w:sz w:val="24"/>
                <w:szCs w:val="24"/>
                <w:lang w:val="en-US" w:eastAsia="zh-CN" w:bidi="ar"/>
              </w:rPr>
              <w:t>情况</w:t>
            </w:r>
            <w:r>
              <w:rPr>
                <w:rFonts w:hint="eastAsia" w:ascii="宋体" w:hAnsi="宋体" w:cs="宋体"/>
                <w:color w:val="auto"/>
                <w:sz w:val="24"/>
              </w:rPr>
              <w:t>，</w:t>
            </w:r>
            <w:r>
              <w:rPr>
                <w:rFonts w:ascii="宋体" w:hAnsi="宋体" w:cs="宋体"/>
                <w:color w:val="auto"/>
                <w:sz w:val="24"/>
              </w:rPr>
              <w:t>由评委进行评分：</w:t>
            </w:r>
            <w:r>
              <w:rPr>
                <w:rFonts w:ascii="宋体" w:hAnsi="宋体" w:eastAsia="宋体" w:cs="宋体"/>
                <w:color w:val="auto"/>
                <w:kern w:val="0"/>
                <w:sz w:val="24"/>
                <w:szCs w:val="24"/>
                <w:lang w:val="en-US" w:eastAsia="zh-CN" w:bidi="ar"/>
              </w:rPr>
              <w:t>投标人根据采购人要求所提供的人员及机械设备的响应时间≤1小时的得2分，1小时＜响应时间≤2小时的得1分，响应时间＞2小时的不得分，满分2分。</w:t>
            </w:r>
            <w:r>
              <w:rPr>
                <w:rFonts w:hint="eastAsia" w:ascii="宋体" w:hAnsi="宋体" w:eastAsia="宋体" w:cs="宋体"/>
                <w:color w:val="auto"/>
                <w:kern w:val="0"/>
                <w:sz w:val="24"/>
                <w:szCs w:val="24"/>
                <w:lang w:val="en-US" w:eastAsia="zh-CN" w:bidi="ar"/>
              </w:rPr>
              <w:t>注：</w:t>
            </w:r>
            <w:r>
              <w:rPr>
                <w:rFonts w:ascii="宋体" w:hAnsi="宋体" w:eastAsia="宋体" w:cs="宋体"/>
                <w:color w:val="auto"/>
                <w:kern w:val="0"/>
                <w:sz w:val="24"/>
                <w:szCs w:val="24"/>
                <w:lang w:val="en-US" w:eastAsia="zh-CN" w:bidi="ar"/>
              </w:rPr>
              <w:t>须提供承诺函（格式自拟），</w:t>
            </w:r>
            <w:r>
              <w:rPr>
                <w:rFonts w:hint="eastAsia" w:ascii="宋体" w:hAnsi="宋体" w:eastAsia="宋体" w:cs="宋体"/>
                <w:color w:val="auto"/>
                <w:kern w:val="0"/>
                <w:sz w:val="24"/>
                <w:szCs w:val="24"/>
                <w:lang w:val="en-US" w:eastAsia="zh-CN" w:bidi="ar"/>
              </w:rPr>
              <w:t>否则不得分</w:t>
            </w:r>
            <w:r>
              <w:rPr>
                <w:rFonts w:ascii="宋体" w:hAnsi="宋体" w:eastAsia="宋体" w:cs="宋体"/>
                <w:color w:val="auto"/>
                <w:kern w:val="0"/>
                <w:sz w:val="24"/>
                <w:szCs w:val="24"/>
                <w:lang w:val="en-US" w:eastAsia="zh-CN" w:bidi="ar"/>
              </w:rPr>
              <w:t>。</w:t>
            </w:r>
          </w:p>
        </w:tc>
      </w:tr>
    </w:tbl>
    <w:p w14:paraId="41B99E4A">
      <w:pPr>
        <w:pStyle w:val="20"/>
        <w:spacing w:line="360" w:lineRule="exact"/>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※除本章第6.3条第（3）款规定情形和落实政府采购政策需进行的价格扣除情形外，不能对投标人的投标报价进行任何调整。</w:t>
      </w:r>
    </w:p>
    <w:p w14:paraId="21598B53">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（3）中标候选人排列规则顺序如下：</w:t>
      </w:r>
    </w:p>
    <w:p w14:paraId="3EEE3AD4">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a.按照评标总得分（FA）由高到低顺序排列。</w:t>
      </w:r>
    </w:p>
    <w:p w14:paraId="3A4F0611">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b.评标总得分（FA）相同的，按照评标价（即价格扣除后的投标报价）由低到高顺序排列。</w:t>
      </w:r>
    </w:p>
    <w:p w14:paraId="370B6F07">
      <w:pPr>
        <w:pStyle w:val="20"/>
        <w:spacing w:line="360" w:lineRule="exact"/>
        <w:jc w:val="both"/>
        <w:rPr>
          <w:rFonts w:ascii="宋体" w:hAnsi="宋体" w:eastAsia="宋体" w:cs="宋体"/>
          <w:color w:val="auto"/>
          <w:sz w:val="24"/>
          <w:szCs w:val="24"/>
        </w:rPr>
      </w:pPr>
      <w:r>
        <w:rPr>
          <w:rFonts w:ascii="宋体" w:hAnsi="宋体" w:eastAsia="宋体" w:cs="宋体"/>
          <w:color w:val="auto"/>
          <w:sz w:val="24"/>
          <w:szCs w:val="24"/>
        </w:rPr>
        <w:t>c.评标总得分（FA）且评标价（即价格扣除后的投标报价）相同的并列。</w:t>
      </w:r>
    </w:p>
    <w:p w14:paraId="62A6752D">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8、其他规定</w:t>
      </w:r>
    </w:p>
    <w:p w14:paraId="4DEE808A">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8.1评标应全程保密且不得透露给任一投标人或与评标工作无关的人员。</w:t>
      </w:r>
    </w:p>
    <w:p w14:paraId="0214A593">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8.2评标将进行全程实时录音录像，录音录像资料随采购文件一并存档。</w:t>
      </w:r>
    </w:p>
    <w:p w14:paraId="6A9E5F91">
      <w:pPr>
        <w:pStyle w:val="20"/>
        <w:spacing w:line="360" w:lineRule="exact"/>
        <w:ind w:firstLine="480"/>
        <w:jc w:val="both"/>
        <w:rPr>
          <w:rFonts w:ascii="宋体" w:hAnsi="宋体" w:eastAsia="宋体" w:cs="宋体"/>
          <w:color w:val="auto"/>
          <w:sz w:val="24"/>
          <w:szCs w:val="24"/>
        </w:rPr>
      </w:pPr>
      <w:r>
        <w:rPr>
          <w:rFonts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5E84AA6">
      <w:pPr>
        <w:pStyle w:val="20"/>
        <w:spacing w:line="360" w:lineRule="exact"/>
        <w:ind w:firstLine="480"/>
        <w:jc w:val="both"/>
        <w:rPr>
          <w:rFonts w:ascii="宋体" w:hAnsi="宋体" w:eastAsia="宋体" w:cs="宋体"/>
          <w:color w:val="auto"/>
        </w:rPr>
      </w:pPr>
      <w:r>
        <w:rPr>
          <w:rFonts w:ascii="宋体" w:hAnsi="宋体" w:eastAsia="宋体" w:cs="宋体"/>
          <w:color w:val="auto"/>
          <w:sz w:val="24"/>
          <w:szCs w:val="24"/>
        </w:rPr>
        <w:t>8.4其他：</w:t>
      </w:r>
      <w:r>
        <w:rPr>
          <w:rFonts w:ascii="宋体" w:hAnsi="宋体" w:eastAsia="宋体" w:cs="宋体"/>
          <w:color w:val="auto"/>
          <w:sz w:val="24"/>
          <w:szCs w:val="24"/>
          <w:lang w:eastAsia="zh-CN"/>
        </w:rPr>
        <w:t>无</w:t>
      </w:r>
      <w:r>
        <w:rPr>
          <w:rFonts w:ascii="宋体" w:hAnsi="宋体" w:eastAsia="宋体" w:cs="宋体"/>
          <w:color w:val="auto"/>
        </w:rPr>
        <w:t xml:space="preserve"> </w:t>
      </w:r>
      <w:r>
        <w:rPr>
          <w:rFonts w:ascii="宋体" w:hAnsi="宋体" w:eastAsia="宋体" w:cs="宋体"/>
          <w:color w:val="auto"/>
        </w:rPr>
        <w:br w:type="textWrapping"/>
      </w:r>
      <w:r>
        <w:rPr>
          <w:rFonts w:ascii="宋体" w:hAnsi="宋体" w:eastAsia="宋体" w:cs="宋体"/>
          <w:color w:val="auto"/>
        </w:rPr>
        <w:br w:type="page"/>
      </w:r>
    </w:p>
    <w:p w14:paraId="21C05CFB">
      <w:pPr>
        <w:pStyle w:val="20"/>
        <w:jc w:val="center"/>
        <w:outlineLvl w:val="1"/>
        <w:rPr>
          <w:rFonts w:ascii="宋体" w:hAnsi="宋体" w:eastAsia="宋体" w:cs="宋体"/>
          <w:color w:val="auto"/>
        </w:rPr>
      </w:pPr>
      <w:r>
        <w:rPr>
          <w:rFonts w:ascii="宋体" w:hAnsi="宋体" w:eastAsia="宋体" w:cs="宋体"/>
          <w:b/>
          <w:color w:val="auto"/>
          <w:sz w:val="36"/>
        </w:rPr>
        <w:t>第五章 招标内容及要求</w:t>
      </w:r>
    </w:p>
    <w:p w14:paraId="16C4FD3F">
      <w:pPr>
        <w:pStyle w:val="20"/>
        <w:keepNext w:val="0"/>
        <w:keepLines w:val="0"/>
        <w:pageBreakBefore w:val="0"/>
        <w:kinsoku/>
        <w:overflowPunct/>
        <w:topLinePunct w:val="0"/>
        <w:autoSpaceDE/>
        <w:autoSpaceDN/>
        <w:bidi w:val="0"/>
        <w:adjustRightInd/>
        <w:snapToGrid/>
        <w:spacing w:line="370" w:lineRule="exact"/>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一、项目概况（采购标的）</w:t>
      </w:r>
    </w:p>
    <w:p w14:paraId="2E38BAFD">
      <w:pPr>
        <w:pStyle w:val="20"/>
        <w:adjustRightInd w:val="0"/>
        <w:snapToGrid w:val="0"/>
        <w:ind w:firstLine="480"/>
        <w:jc w:val="both"/>
        <w:rPr>
          <w:rFonts w:hint="eastAsia" w:ascii="宋体" w:hAnsi="宋体" w:eastAsia="宋体" w:cs="宋体"/>
          <w:color w:val="auto"/>
          <w:sz w:val="24"/>
          <w:szCs w:val="24"/>
          <w:u w:val="none"/>
          <w:lang w:val="en-US" w:eastAsia="zh-CN"/>
        </w:rPr>
      </w:pPr>
      <w:r>
        <w:rPr>
          <w:rFonts w:ascii="宋体" w:hAnsi="宋体" w:eastAsia="宋体" w:cs="宋体"/>
          <w:color w:val="auto"/>
          <w:sz w:val="24"/>
          <w:szCs w:val="24"/>
          <w:u w:val="none"/>
        </w:rPr>
        <w:t>1</w:t>
      </w:r>
      <w:r>
        <w:rPr>
          <w:rFonts w:hint="eastAsia" w:ascii="宋体" w:hAnsi="宋体" w:eastAsia="宋体" w:cs="宋体"/>
          <w:color w:val="auto"/>
          <w:sz w:val="24"/>
          <w:szCs w:val="24"/>
          <w:u w:val="none"/>
          <w:lang w:eastAsia="zh-CN"/>
        </w:rPr>
        <w:t>、</w:t>
      </w:r>
      <w:r>
        <w:rPr>
          <w:rFonts w:ascii="宋体" w:hAnsi="宋体" w:eastAsia="宋体" w:cs="宋体"/>
          <w:color w:val="auto"/>
          <w:sz w:val="24"/>
          <w:szCs w:val="24"/>
          <w:u w:val="none"/>
        </w:rPr>
        <w:t>项目名称：</w:t>
      </w:r>
      <w:r>
        <w:rPr>
          <w:rFonts w:hint="eastAsia" w:ascii="宋体" w:hAnsi="宋体" w:eastAsia="宋体" w:cs="宋体"/>
          <w:color w:val="auto"/>
          <w:sz w:val="24"/>
          <w:highlight w:val="none"/>
          <w:u w:val="none"/>
        </w:rPr>
        <w:t>福州市闽江公园花海公园（含环南台岛江滨休闲路解放大桥至花海公园段）</w:t>
      </w:r>
      <w:r>
        <w:rPr>
          <w:rFonts w:ascii="宋体" w:hAnsi="宋体" w:eastAsia="宋体" w:cs="宋体"/>
          <w:color w:val="auto"/>
          <w:sz w:val="24"/>
          <w:szCs w:val="24"/>
          <w:u w:val="none"/>
        </w:rPr>
        <w:t>绿化养护服务项目</w:t>
      </w:r>
      <w:r>
        <w:rPr>
          <w:rFonts w:hint="eastAsia" w:ascii="宋体" w:hAnsi="宋体" w:eastAsia="宋体" w:cs="宋体"/>
          <w:color w:val="auto"/>
          <w:sz w:val="24"/>
          <w:highlight w:val="none"/>
          <w:u w:val="none"/>
        </w:rPr>
        <w:t>。</w:t>
      </w:r>
    </w:p>
    <w:p w14:paraId="73A9D9DC">
      <w:pPr>
        <w:pStyle w:val="20"/>
        <w:adjustRightInd w:val="0"/>
        <w:snapToGrid w:val="0"/>
        <w:ind w:firstLine="480"/>
        <w:jc w:val="both"/>
        <w:rPr>
          <w:rFonts w:hint="default" w:ascii="宋体" w:hAnsi="宋体" w:eastAsia="宋体" w:cs="宋体"/>
          <w:color w:val="auto"/>
          <w:sz w:val="24"/>
          <w:szCs w:val="24"/>
          <w:u w:val="none"/>
        </w:rPr>
      </w:pPr>
      <w:r>
        <w:rPr>
          <w:rFonts w:ascii="宋体" w:hAnsi="宋体" w:eastAsia="宋体" w:cs="宋体"/>
          <w:color w:val="auto"/>
          <w:sz w:val="24"/>
          <w:szCs w:val="24"/>
          <w:u w:val="none"/>
        </w:rPr>
        <w:t>2</w:t>
      </w:r>
      <w:r>
        <w:rPr>
          <w:rFonts w:hint="eastAsia" w:ascii="宋体" w:hAnsi="宋体" w:eastAsia="宋体" w:cs="宋体"/>
          <w:color w:val="auto"/>
          <w:sz w:val="24"/>
          <w:szCs w:val="24"/>
          <w:u w:val="none"/>
          <w:lang w:eastAsia="zh-CN"/>
        </w:rPr>
        <w:t>、</w:t>
      </w:r>
      <w:r>
        <w:rPr>
          <w:rFonts w:ascii="宋体" w:hAnsi="宋体" w:eastAsia="宋体" w:cs="宋体"/>
          <w:color w:val="auto"/>
          <w:sz w:val="24"/>
          <w:szCs w:val="24"/>
          <w:u w:val="none"/>
        </w:rPr>
        <w:t>养护</w:t>
      </w:r>
      <w:r>
        <w:rPr>
          <w:rFonts w:hint="eastAsia" w:ascii="宋体" w:hAnsi="宋体" w:eastAsia="宋体" w:cs="宋体"/>
          <w:color w:val="auto"/>
          <w:sz w:val="24"/>
          <w:szCs w:val="24"/>
          <w:u w:val="none"/>
          <w:lang w:val="en-US" w:eastAsia="zh-CN"/>
        </w:rPr>
        <w:t>面积</w:t>
      </w:r>
      <w:r>
        <w:rPr>
          <w:rFonts w:ascii="宋体" w:hAnsi="宋体" w:eastAsia="宋体" w:cs="宋体"/>
          <w:color w:val="auto"/>
          <w:sz w:val="24"/>
          <w:szCs w:val="24"/>
          <w:u w:val="none"/>
        </w:rPr>
        <w:t>：</w:t>
      </w:r>
      <w:r>
        <w:rPr>
          <w:rFonts w:hint="eastAsia" w:ascii="宋体" w:hAnsi="宋体" w:eastAsia="宋体" w:cs="宋体"/>
          <w:color w:val="auto"/>
          <w:sz w:val="24"/>
          <w:highlight w:val="none"/>
          <w:u w:val="none"/>
        </w:rPr>
        <w:t>福州市闽江公园花海公园（含环南台岛江滨休闲路解放大桥至花海公园段）</w:t>
      </w:r>
      <w:r>
        <w:rPr>
          <w:rFonts w:ascii="宋体" w:hAnsi="宋体" w:eastAsia="宋体" w:cs="宋体"/>
          <w:color w:val="auto"/>
          <w:sz w:val="24"/>
          <w:szCs w:val="24"/>
          <w:u w:val="none"/>
          <w:shd w:val="clear" w:color="auto" w:fill="FFFFFF"/>
        </w:rPr>
        <w:t>绿地总面积</w:t>
      </w:r>
      <w:r>
        <w:rPr>
          <w:rFonts w:hint="eastAsia" w:ascii="宋体" w:hAnsi="宋体" w:eastAsia="宋体" w:cs="宋体"/>
          <w:color w:val="auto"/>
          <w:sz w:val="24"/>
          <w:szCs w:val="24"/>
          <w:u w:val="none"/>
          <w:shd w:val="clear" w:color="auto" w:fill="FFFFFF"/>
          <w:lang w:val="en-US" w:eastAsia="zh-CN"/>
        </w:rPr>
        <w:t>408666.93</w:t>
      </w:r>
      <w:r>
        <w:rPr>
          <w:rFonts w:ascii="宋体" w:hAnsi="宋体" w:eastAsia="宋体" w:cs="宋体"/>
          <w:color w:val="auto"/>
          <w:sz w:val="24"/>
          <w:szCs w:val="24"/>
          <w:u w:val="none"/>
          <w:shd w:val="clear" w:color="auto" w:fill="FFFFFF"/>
        </w:rPr>
        <w:t>平方米，其中</w:t>
      </w:r>
      <w:r>
        <w:rPr>
          <w:rFonts w:hint="eastAsia" w:ascii="宋体" w:hAnsi="宋体" w:eastAsia="宋体" w:cs="宋体"/>
          <w:color w:val="auto"/>
          <w:sz w:val="24"/>
          <w:szCs w:val="24"/>
          <w:u w:val="none"/>
          <w:shd w:val="clear" w:color="auto" w:fill="FFFFFF"/>
          <w:lang w:val="en-US" w:eastAsia="zh-CN"/>
        </w:rPr>
        <w:t>花海公园</w:t>
      </w:r>
      <w:r>
        <w:rPr>
          <w:rFonts w:hint="eastAsia" w:ascii="宋体" w:hAnsi="宋体" w:eastAsia="宋体" w:cs="宋体"/>
          <w:color w:val="auto"/>
          <w:sz w:val="24"/>
          <w:highlight w:val="none"/>
          <w:u w:val="none"/>
          <w:lang w:eastAsia="zh-CN"/>
        </w:rPr>
        <w:t>（含堤外休闲道及冠城大通游艇码头段）</w:t>
      </w:r>
      <w:r>
        <w:rPr>
          <w:rFonts w:hint="eastAsia" w:ascii="宋体" w:hAnsi="宋体" w:eastAsia="宋体" w:cs="宋体"/>
          <w:color w:val="auto"/>
          <w:sz w:val="24"/>
          <w:szCs w:val="24"/>
          <w:u w:val="none"/>
          <w:shd w:val="clear" w:color="auto" w:fill="FFFFFF"/>
          <w:lang w:val="en-US" w:eastAsia="zh-CN"/>
        </w:rPr>
        <w:t>绿地总面积389889</w:t>
      </w:r>
      <w:r>
        <w:rPr>
          <w:rFonts w:ascii="宋体" w:hAnsi="宋体" w:eastAsia="宋体" w:cs="宋体"/>
          <w:color w:val="auto"/>
          <w:sz w:val="24"/>
          <w:szCs w:val="24"/>
          <w:u w:val="none"/>
          <w:shd w:val="clear" w:color="auto" w:fill="FFFFFF"/>
        </w:rPr>
        <w:t>平方米</w:t>
      </w:r>
      <w:r>
        <w:rPr>
          <w:rFonts w:hint="eastAsia" w:ascii="宋体" w:hAnsi="宋体" w:eastAsia="宋体" w:cs="宋体"/>
          <w:color w:val="auto"/>
          <w:sz w:val="24"/>
          <w:szCs w:val="24"/>
          <w:u w:val="none"/>
          <w:shd w:val="clear" w:color="auto" w:fill="FFFFFF"/>
          <w:lang w:eastAsia="zh-CN"/>
        </w:rPr>
        <w:t>，</w:t>
      </w:r>
      <w:r>
        <w:rPr>
          <w:rFonts w:hint="eastAsia" w:ascii="宋体" w:hAnsi="宋体" w:eastAsia="宋体" w:cs="宋体"/>
          <w:color w:val="auto"/>
          <w:sz w:val="24"/>
          <w:szCs w:val="24"/>
          <w:u w:val="none"/>
          <w:shd w:val="clear" w:color="auto" w:fill="FFFFFF"/>
          <w:lang w:val="en-US" w:eastAsia="zh-CN"/>
        </w:rPr>
        <w:t>包含景观绿地、一年生草花播种地、多年生草花播种地；</w:t>
      </w:r>
      <w:r>
        <w:rPr>
          <w:rFonts w:hint="eastAsia" w:ascii="宋体" w:hAnsi="宋体" w:eastAsia="宋体" w:cs="宋体"/>
          <w:color w:val="auto"/>
          <w:sz w:val="24"/>
          <w:highlight w:val="none"/>
          <w:u w:val="none"/>
        </w:rPr>
        <w:t>环南台岛江滨休闲路解放大桥至花海公园段</w:t>
      </w:r>
      <w:r>
        <w:rPr>
          <w:rFonts w:hint="eastAsia" w:ascii="宋体" w:hAnsi="宋体" w:eastAsia="宋体" w:cs="宋体"/>
          <w:color w:val="auto"/>
          <w:sz w:val="24"/>
          <w:szCs w:val="24"/>
          <w:u w:val="none"/>
          <w:shd w:val="clear" w:color="auto" w:fill="FFFFFF"/>
          <w:lang w:val="en-US" w:eastAsia="zh-CN"/>
        </w:rPr>
        <w:t>绿地总面积18777.93</w:t>
      </w:r>
      <w:r>
        <w:rPr>
          <w:rFonts w:ascii="宋体" w:hAnsi="宋体" w:eastAsia="宋体" w:cs="宋体"/>
          <w:color w:val="auto"/>
          <w:sz w:val="24"/>
          <w:szCs w:val="24"/>
          <w:u w:val="none"/>
          <w:shd w:val="clear" w:color="auto" w:fill="FFFFFF"/>
        </w:rPr>
        <w:t>平方米</w:t>
      </w:r>
      <w:r>
        <w:rPr>
          <w:rFonts w:hint="eastAsia" w:ascii="宋体" w:hAnsi="宋体" w:eastAsia="宋体" w:cs="宋体"/>
          <w:color w:val="auto"/>
          <w:sz w:val="24"/>
          <w:szCs w:val="24"/>
          <w:u w:val="none"/>
          <w:shd w:val="clear" w:color="auto" w:fill="FFFFFF"/>
          <w:lang w:val="en-US" w:eastAsia="zh-CN"/>
        </w:rPr>
        <w:t>。</w:t>
      </w:r>
      <w:r>
        <w:rPr>
          <w:rFonts w:hint="eastAsia" w:ascii="宋体" w:hAnsi="宋体" w:eastAsia="宋体" w:cs="宋体"/>
          <w:color w:val="auto"/>
          <w:sz w:val="24"/>
          <w:szCs w:val="24"/>
          <w:u w:val="none"/>
          <w:lang w:val="en-US" w:eastAsia="zh-CN"/>
        </w:rPr>
        <w:t>公园</w:t>
      </w:r>
      <w:r>
        <w:rPr>
          <w:rFonts w:ascii="宋体" w:hAnsi="宋体" w:eastAsia="宋体" w:cs="宋体"/>
          <w:color w:val="auto"/>
          <w:sz w:val="24"/>
          <w:szCs w:val="24"/>
          <w:u w:val="none"/>
        </w:rPr>
        <w:t>需要特殊绿化养护的植物有</w:t>
      </w:r>
      <w:r>
        <w:rPr>
          <w:rFonts w:hint="eastAsia" w:ascii="宋体" w:hAnsi="宋体" w:eastAsia="宋体" w:cs="宋体"/>
          <w:color w:val="auto"/>
          <w:sz w:val="24"/>
          <w:szCs w:val="24"/>
          <w:u w:val="none"/>
          <w:lang w:val="en-US" w:eastAsia="zh-CN"/>
        </w:rPr>
        <w:t>木芙蓉、三角梅、</w:t>
      </w:r>
      <w:r>
        <w:rPr>
          <w:rFonts w:ascii="宋体" w:hAnsi="宋体" w:eastAsia="宋体" w:cs="宋体"/>
          <w:color w:val="auto"/>
          <w:sz w:val="24"/>
          <w:szCs w:val="24"/>
          <w:u w:val="none"/>
        </w:rPr>
        <w:t>茉莉花、福桔</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荷花</w:t>
      </w:r>
      <w:r>
        <w:rPr>
          <w:rFonts w:ascii="宋体" w:hAnsi="宋体" w:eastAsia="宋体" w:cs="宋体"/>
          <w:color w:val="auto"/>
          <w:sz w:val="24"/>
          <w:szCs w:val="24"/>
          <w:u w:val="none"/>
        </w:rPr>
        <w:t>。</w:t>
      </w:r>
    </w:p>
    <w:p w14:paraId="4AC84D85">
      <w:pPr>
        <w:pStyle w:val="20"/>
        <w:adjustRightInd w:val="0"/>
        <w:snapToGrid w:val="0"/>
        <w:ind w:firstLine="480"/>
        <w:jc w:val="both"/>
        <w:rPr>
          <w:rFonts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w:t>
      </w:r>
      <w:r>
        <w:rPr>
          <w:rFonts w:ascii="宋体" w:hAnsi="宋体" w:eastAsia="宋体" w:cs="宋体"/>
          <w:color w:val="auto"/>
          <w:sz w:val="24"/>
          <w:szCs w:val="24"/>
          <w:u w:val="none"/>
        </w:rPr>
        <w:t>服务期限：</w:t>
      </w:r>
      <w:r>
        <w:rPr>
          <w:rFonts w:hint="eastAsia" w:ascii="宋体" w:hAnsi="宋体" w:eastAsia="宋体" w:cs="宋体"/>
          <w:color w:val="auto"/>
          <w:sz w:val="24"/>
          <w:szCs w:val="24"/>
          <w:u w:val="none"/>
          <w:lang w:val="en-US" w:eastAsia="zh-CN"/>
        </w:rPr>
        <w:t>36</w:t>
      </w:r>
      <w:r>
        <w:rPr>
          <w:rFonts w:ascii="宋体" w:hAnsi="宋体" w:eastAsia="宋体" w:cs="宋体"/>
          <w:color w:val="auto"/>
          <w:sz w:val="24"/>
          <w:szCs w:val="24"/>
          <w:u w:val="none"/>
        </w:rPr>
        <w:t>个月。如中标人</w:t>
      </w:r>
      <w:r>
        <w:rPr>
          <w:rFonts w:ascii="宋体" w:hAnsi="宋体" w:eastAsia="宋体" w:cs="宋体"/>
          <w:color w:val="auto"/>
          <w:sz w:val="24"/>
          <w:szCs w:val="24"/>
          <w:u w:val="none"/>
          <w:shd w:val="clear" w:color="auto" w:fill="FFFFFF"/>
        </w:rPr>
        <w:t>月平均</w:t>
      </w:r>
      <w:r>
        <w:rPr>
          <w:rFonts w:ascii="宋体" w:hAnsi="宋体" w:eastAsia="宋体" w:cs="宋体"/>
          <w:color w:val="auto"/>
          <w:sz w:val="24"/>
          <w:szCs w:val="24"/>
          <w:u w:val="none"/>
        </w:rPr>
        <w:t>考核得分低于60分或合同(或协议)期内累计3次</w:t>
      </w:r>
      <w:r>
        <w:rPr>
          <w:rFonts w:ascii="宋体" w:hAnsi="宋体" w:eastAsia="宋体" w:cs="宋体"/>
          <w:color w:val="auto"/>
          <w:sz w:val="24"/>
          <w:szCs w:val="24"/>
          <w:u w:val="none"/>
          <w:shd w:val="clear" w:color="auto" w:fill="FFFFFF"/>
        </w:rPr>
        <w:t>月平均</w:t>
      </w:r>
      <w:r>
        <w:rPr>
          <w:rFonts w:ascii="宋体" w:hAnsi="宋体" w:eastAsia="宋体" w:cs="宋体"/>
          <w:color w:val="auto"/>
          <w:sz w:val="24"/>
          <w:szCs w:val="24"/>
          <w:u w:val="none"/>
        </w:rPr>
        <w:t>考核得分低于80分的，采购人有权终止合同(或协议)并没收履约保证金的50%～100%，中标人须无条件按采购人要求办理移交、退场手续。</w:t>
      </w:r>
    </w:p>
    <w:p w14:paraId="47405EE8">
      <w:pPr>
        <w:pStyle w:val="20"/>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highlight w:val="none"/>
          <w:u w:val="none"/>
          <w:lang w:val="en-US" w:eastAsia="zh-CN"/>
        </w:rPr>
        <w:t>投标人应按采购包投标，对同一采购包内所有品目号内容投标时必须完整。评标与授标以采购包为单位，中标人不得转包他人，若发现转包，采购人有权终止协议，并由中标人承担相关责任。</w:t>
      </w:r>
    </w:p>
    <w:p w14:paraId="16D43D42">
      <w:pPr>
        <w:pStyle w:val="20"/>
        <w:keepNext w:val="0"/>
        <w:keepLines w:val="0"/>
        <w:pageBreakBefore w:val="0"/>
        <w:kinsoku/>
        <w:overflowPunct/>
        <w:topLinePunct w:val="0"/>
        <w:autoSpaceDE/>
        <w:autoSpaceDN/>
        <w:bidi w:val="0"/>
        <w:adjustRightInd/>
        <w:snapToGrid/>
        <w:spacing w:line="370" w:lineRule="exact"/>
        <w:ind w:firstLine="480" w:firstLineChars="200"/>
        <w:jc w:val="both"/>
        <w:textAlignment w:val="auto"/>
        <w:outlineLvl w:val="2"/>
        <w:rPr>
          <w:rFonts w:ascii="宋体" w:hAnsi="宋体" w:eastAsia="宋体" w:cs="宋体"/>
          <w:strike w:val="0"/>
          <w:color w:val="auto"/>
          <w:sz w:val="24"/>
          <w:highlight w:val="none"/>
          <w:lang w:eastAsia="zh-CN"/>
        </w:rPr>
      </w:pPr>
      <w:r>
        <w:rPr>
          <w:rFonts w:hint="eastAsia" w:ascii="宋体" w:hAnsi="宋体" w:eastAsia="宋体" w:cs="宋体"/>
          <w:color w:val="auto"/>
          <w:sz w:val="24"/>
          <w:szCs w:val="24"/>
          <w:u w:val="none"/>
          <w:lang w:val="en-US" w:eastAsia="zh-CN"/>
        </w:rPr>
        <w:t>5、报价要求：</w:t>
      </w:r>
      <w:r>
        <w:rPr>
          <w:rFonts w:hint="eastAsia" w:ascii="宋体" w:hAnsi="宋体" w:eastAsia="宋体" w:cs="宋体"/>
          <w:b/>
          <w:bCs/>
          <w:color w:val="auto"/>
          <w:sz w:val="24"/>
          <w:highlight w:val="none"/>
          <w:u w:val="none"/>
          <w:lang w:val="en-US" w:eastAsia="zh-CN"/>
        </w:rPr>
        <w:t>投标人投标时对</w:t>
      </w:r>
      <w:r>
        <w:rPr>
          <w:rFonts w:hint="eastAsia" w:ascii="宋体" w:hAnsi="宋体" w:eastAsia="宋体" w:cs="宋体"/>
          <w:b/>
          <w:bCs/>
          <w:color w:val="auto"/>
          <w:sz w:val="24"/>
          <w:highlight w:val="none"/>
          <w:u w:val="none"/>
        </w:rPr>
        <w:t>花海公园</w:t>
      </w:r>
      <w:r>
        <w:rPr>
          <w:rFonts w:hint="eastAsia" w:ascii="宋体" w:hAnsi="宋体" w:eastAsia="宋体" w:cs="宋体"/>
          <w:b/>
          <w:bCs/>
          <w:color w:val="auto"/>
          <w:sz w:val="24"/>
          <w:highlight w:val="none"/>
          <w:u w:val="none"/>
          <w:lang w:val="en-US" w:eastAsia="zh-CN"/>
        </w:rPr>
        <w:t>和</w:t>
      </w:r>
      <w:r>
        <w:rPr>
          <w:rFonts w:hint="eastAsia" w:ascii="宋体" w:hAnsi="宋体" w:eastAsia="宋体" w:cs="宋体"/>
          <w:b/>
          <w:bCs/>
          <w:color w:val="auto"/>
          <w:sz w:val="24"/>
          <w:highlight w:val="none"/>
          <w:u w:val="none"/>
        </w:rPr>
        <w:t>环南台岛</w:t>
      </w:r>
      <w:r>
        <w:rPr>
          <w:rFonts w:hint="eastAsia" w:ascii="宋体" w:hAnsi="宋体" w:eastAsia="宋体" w:cs="宋体"/>
          <w:b/>
          <w:bCs/>
          <w:color w:val="auto"/>
          <w:sz w:val="24"/>
          <w:highlight w:val="none"/>
          <w:u w:val="none"/>
          <w:lang w:val="en-US" w:eastAsia="zh-CN"/>
        </w:rPr>
        <w:t>进行分项报价，</w:t>
      </w:r>
      <w:r>
        <w:rPr>
          <w:rFonts w:hint="eastAsia" w:ascii="宋体" w:hAnsi="宋体" w:eastAsia="宋体" w:cs="宋体"/>
          <w:b/>
          <w:color w:val="auto"/>
          <w:sz w:val="24"/>
          <w:szCs w:val="24"/>
          <w:highlight w:val="none"/>
          <w:shd w:val="clear" w:fill="FFFFFF"/>
        </w:rPr>
        <w:t>并在福建省政府采购网上公开信息系统中电子投标文件的“节能、环境标志产品”节点上传分项报价表</w:t>
      </w:r>
      <w:r>
        <w:rPr>
          <w:rFonts w:hint="eastAsia" w:ascii="宋体" w:hAnsi="宋体" w:eastAsia="宋体" w:cs="宋体"/>
          <w:b/>
          <w:color w:val="auto"/>
          <w:sz w:val="24"/>
          <w:szCs w:val="24"/>
          <w:highlight w:val="none"/>
          <w:shd w:val="clear" w:fill="FFFFFF"/>
          <w:lang w:eastAsia="zh-CN"/>
        </w:rPr>
        <w:t>，</w:t>
      </w:r>
      <w:r>
        <w:rPr>
          <w:rFonts w:hint="eastAsia" w:ascii="宋体" w:hAnsi="宋体" w:eastAsia="宋体" w:cs="宋体"/>
          <w:b/>
          <w:color w:val="auto"/>
          <w:sz w:val="24"/>
          <w:szCs w:val="24"/>
          <w:highlight w:val="none"/>
          <w:shd w:val="clear" w:fill="FFFFFF"/>
          <w:lang w:val="en-US" w:eastAsia="zh-CN"/>
        </w:rPr>
        <w:t>否则</w:t>
      </w:r>
      <w:r>
        <w:rPr>
          <w:rFonts w:hint="eastAsia" w:ascii="宋体" w:hAnsi="宋体" w:eastAsia="宋体" w:cs="宋体"/>
          <w:b/>
          <w:color w:val="auto"/>
          <w:sz w:val="24"/>
          <w:szCs w:val="24"/>
          <w:highlight w:val="none"/>
          <w:shd w:val="clear" w:fill="FFFFFF"/>
          <w:lang w:eastAsia="zh-CN"/>
        </w:rPr>
        <w:t>视为报价部分符合性审查不合格，按无效投标处理。</w:t>
      </w:r>
      <w:r>
        <w:rPr>
          <w:rFonts w:hint="eastAsia" w:ascii="宋体" w:hAnsi="宋体" w:eastAsia="宋体" w:cs="宋体"/>
          <w:color w:val="auto"/>
          <w:sz w:val="24"/>
          <w:highlight w:val="none"/>
          <w:u w:val="none"/>
          <w:lang w:val="en-US" w:eastAsia="zh-CN"/>
        </w:rPr>
        <w:t>投标报价</w:t>
      </w:r>
      <w:r>
        <w:rPr>
          <w:rFonts w:ascii="宋体" w:hAnsi="宋体" w:eastAsia="宋体" w:cs="宋体"/>
          <w:color w:val="auto"/>
          <w:sz w:val="24"/>
          <w:highlight w:val="none"/>
          <w:u w:val="none"/>
        </w:rPr>
        <w:t>应包括服务所涉及的有关项目的所有费用进行报价，包括但不限于作业人员工资(含养老保险、医疗保险、失业保险、工伤保险、生育保险、人身意外伤害险)</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作业人员休息日和法定节假日的加班</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奖金</w:t>
      </w:r>
      <w:r>
        <w:rPr>
          <w:rFonts w:ascii="宋体" w:hAnsi="宋体" w:eastAsia="宋体" w:cs="宋体"/>
          <w:color w:val="auto"/>
          <w:sz w:val="24"/>
          <w:highlight w:val="none"/>
          <w:u w:val="none"/>
        </w:rPr>
        <w:t>和各种津贴、补贴以及工作服装费、各项岗位培训费、行政管理费</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工具配备费用、劳保费用</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管理费</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设备折旧费</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机械车辆的维修费</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机械作业费（含车辆油费、水费、工具费）</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垃圾转运费</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利润</w:t>
      </w:r>
      <w:r>
        <w:rPr>
          <w:rFonts w:hint="eastAsia" w:ascii="宋体" w:hAnsi="宋体" w:eastAsia="宋体" w:cs="宋体"/>
          <w:color w:val="auto"/>
          <w:sz w:val="24"/>
          <w:highlight w:val="none"/>
          <w:u w:val="none"/>
          <w:lang w:eastAsia="zh-CN"/>
        </w:rPr>
        <w:t>、</w:t>
      </w:r>
      <w:r>
        <w:rPr>
          <w:rFonts w:ascii="宋体" w:hAnsi="宋体" w:eastAsia="宋体" w:cs="宋体"/>
          <w:color w:val="auto"/>
          <w:sz w:val="24"/>
          <w:highlight w:val="none"/>
          <w:u w:val="none"/>
        </w:rPr>
        <w:t>税金等一切费用，采购人不再承担任何费用。投标人还需考虑到合同中可能出现的索赔和变更。</w:t>
      </w:r>
    </w:p>
    <w:p w14:paraId="503B49C5">
      <w:pPr>
        <w:pStyle w:val="20"/>
        <w:keepNext w:val="0"/>
        <w:keepLines w:val="0"/>
        <w:pageBreakBefore w:val="0"/>
        <w:kinsoku/>
        <w:overflowPunct/>
        <w:topLinePunct w:val="0"/>
        <w:autoSpaceDE/>
        <w:autoSpaceDN/>
        <w:bidi w:val="0"/>
        <w:adjustRightInd/>
        <w:snapToGrid/>
        <w:spacing w:line="370" w:lineRule="exact"/>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二、技术和服务要求（以“★”标示的内容为不允许负偏离的实质性要求）</w:t>
      </w:r>
    </w:p>
    <w:p w14:paraId="23ABF862">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Style w:val="18"/>
          <w:rFonts w:hint="eastAsia" w:ascii="宋体" w:hAnsi="宋体" w:eastAsia="宋体" w:cs="宋体"/>
          <w:color w:val="auto"/>
          <w:sz w:val="24"/>
          <w:szCs w:val="24"/>
        </w:rPr>
        <w:t>（一）养护项目相关情况</w:t>
      </w:r>
    </w:p>
    <w:tbl>
      <w:tblPr>
        <w:tblStyle w:val="15"/>
        <w:tblW w:w="0" w:type="auto"/>
        <w:tblCellSpacing w:w="1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90"/>
        <w:gridCol w:w="2160"/>
        <w:gridCol w:w="1830"/>
        <w:gridCol w:w="1395"/>
        <w:gridCol w:w="1425"/>
        <w:gridCol w:w="783"/>
        <w:gridCol w:w="500"/>
      </w:tblGrid>
      <w:tr w14:paraId="2EF4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50" w:hRule="atLeast"/>
          <w:tblCellSpacing w:w="15" w:type="dxa"/>
        </w:trPr>
        <w:tc>
          <w:tcPr>
            <w:tcW w:w="1545" w:type="dxa"/>
            <w:shd w:val="clear" w:color="auto" w:fill="auto"/>
            <w:tcMar>
              <w:top w:w="0" w:type="dxa"/>
              <w:left w:w="70" w:type="dxa"/>
              <w:bottom w:w="0" w:type="dxa"/>
              <w:right w:w="70" w:type="dxa"/>
            </w:tcMar>
            <w:vAlign w:val="center"/>
          </w:tcPr>
          <w:p w14:paraId="1824886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项目名称</w:t>
            </w:r>
          </w:p>
        </w:tc>
        <w:tc>
          <w:tcPr>
            <w:tcW w:w="2130" w:type="dxa"/>
            <w:shd w:val="clear" w:color="auto" w:fill="auto"/>
            <w:tcMar>
              <w:top w:w="0" w:type="dxa"/>
              <w:left w:w="70" w:type="dxa"/>
              <w:bottom w:w="0" w:type="dxa"/>
              <w:right w:w="70" w:type="dxa"/>
            </w:tcMar>
            <w:vAlign w:val="center"/>
          </w:tcPr>
          <w:p w14:paraId="61D0F2C4">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园区</w:t>
            </w:r>
          </w:p>
        </w:tc>
        <w:tc>
          <w:tcPr>
            <w:tcW w:w="1800" w:type="dxa"/>
            <w:shd w:val="clear" w:color="auto" w:fill="auto"/>
            <w:tcMar>
              <w:top w:w="0" w:type="dxa"/>
              <w:left w:w="70" w:type="dxa"/>
              <w:bottom w:w="0" w:type="dxa"/>
              <w:right w:w="70" w:type="dxa"/>
            </w:tcMar>
            <w:vAlign w:val="center"/>
          </w:tcPr>
          <w:p w14:paraId="4812B93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区域划分</w:t>
            </w:r>
          </w:p>
        </w:tc>
        <w:tc>
          <w:tcPr>
            <w:tcW w:w="1365" w:type="dxa"/>
            <w:shd w:val="clear" w:color="auto" w:fill="auto"/>
            <w:tcMar>
              <w:top w:w="0" w:type="dxa"/>
              <w:left w:w="70" w:type="dxa"/>
              <w:bottom w:w="0" w:type="dxa"/>
              <w:right w:w="70" w:type="dxa"/>
            </w:tcMar>
            <w:vAlign w:val="center"/>
          </w:tcPr>
          <w:p w14:paraId="7C76A4F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绿地面积（m</w:t>
            </w:r>
            <w:r>
              <w:rPr>
                <w:rStyle w:val="18"/>
                <w:rFonts w:hint="eastAsia" w:ascii="宋体" w:hAnsi="宋体" w:eastAsia="宋体" w:cs="宋体"/>
                <w:color w:val="auto"/>
                <w:sz w:val="24"/>
                <w:szCs w:val="24"/>
                <w:vertAlign w:val="superscript"/>
              </w:rPr>
              <w:t>2</w:t>
            </w:r>
            <w:r>
              <w:rPr>
                <w:rStyle w:val="18"/>
                <w:rFonts w:hint="eastAsia" w:ascii="宋体" w:hAnsi="宋体" w:eastAsia="宋体" w:cs="宋体"/>
                <w:color w:val="auto"/>
                <w:sz w:val="24"/>
                <w:szCs w:val="24"/>
              </w:rPr>
              <w:t>）</w:t>
            </w:r>
          </w:p>
        </w:tc>
        <w:tc>
          <w:tcPr>
            <w:tcW w:w="1395" w:type="dxa"/>
            <w:shd w:val="clear" w:color="auto" w:fill="auto"/>
            <w:tcMar>
              <w:top w:w="0" w:type="dxa"/>
              <w:left w:w="70" w:type="dxa"/>
              <w:bottom w:w="0" w:type="dxa"/>
              <w:right w:w="70" w:type="dxa"/>
            </w:tcMar>
            <w:vAlign w:val="center"/>
          </w:tcPr>
          <w:p w14:paraId="23994DFE">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每日所配备的最低人员数要求（人）</w:t>
            </w:r>
          </w:p>
        </w:tc>
        <w:tc>
          <w:tcPr>
            <w:tcW w:w="753" w:type="dxa"/>
            <w:shd w:val="clear" w:color="auto" w:fill="auto"/>
            <w:tcMar>
              <w:top w:w="0" w:type="dxa"/>
              <w:left w:w="70" w:type="dxa"/>
              <w:bottom w:w="0" w:type="dxa"/>
              <w:right w:w="70" w:type="dxa"/>
            </w:tcMar>
            <w:vAlign w:val="center"/>
          </w:tcPr>
          <w:p w14:paraId="597AB80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服务期限</w:t>
            </w:r>
          </w:p>
        </w:tc>
        <w:tc>
          <w:tcPr>
            <w:tcW w:w="0" w:type="auto"/>
            <w:shd w:val="clear" w:color="auto" w:fill="auto"/>
            <w:tcMar>
              <w:top w:w="0" w:type="dxa"/>
              <w:left w:w="70" w:type="dxa"/>
              <w:bottom w:w="0" w:type="dxa"/>
              <w:right w:w="70" w:type="dxa"/>
            </w:tcMar>
            <w:vAlign w:val="center"/>
          </w:tcPr>
          <w:p w14:paraId="0C85407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备注</w:t>
            </w:r>
          </w:p>
        </w:tc>
      </w:tr>
      <w:tr w14:paraId="0B0B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2" w:hRule="atLeast"/>
          <w:tblCellSpacing w:w="15" w:type="dxa"/>
        </w:trPr>
        <w:tc>
          <w:tcPr>
            <w:tcW w:w="1545" w:type="dxa"/>
            <w:vMerge w:val="restart"/>
            <w:shd w:val="clear" w:color="auto" w:fill="auto"/>
            <w:tcMar>
              <w:top w:w="0" w:type="dxa"/>
              <w:left w:w="70" w:type="dxa"/>
              <w:bottom w:w="0" w:type="dxa"/>
              <w:right w:w="70" w:type="dxa"/>
            </w:tcMar>
            <w:vAlign w:val="center"/>
          </w:tcPr>
          <w:p w14:paraId="3335324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花海公园绿化及播种养护</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项目</w:t>
            </w:r>
          </w:p>
        </w:tc>
        <w:tc>
          <w:tcPr>
            <w:tcW w:w="2130" w:type="dxa"/>
            <w:vMerge w:val="restart"/>
            <w:shd w:val="clear" w:color="auto" w:fill="auto"/>
            <w:tcMar>
              <w:top w:w="0" w:type="dxa"/>
              <w:left w:w="70" w:type="dxa"/>
              <w:bottom w:w="0" w:type="dxa"/>
              <w:right w:w="70" w:type="dxa"/>
            </w:tcMar>
            <w:vAlign w:val="center"/>
          </w:tcPr>
          <w:p w14:paraId="3B0E458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花海公园（绿地总面积389889m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p>
        </w:tc>
        <w:tc>
          <w:tcPr>
            <w:tcW w:w="1800" w:type="dxa"/>
            <w:shd w:val="clear" w:color="auto" w:fill="auto"/>
            <w:tcMar>
              <w:top w:w="0" w:type="dxa"/>
              <w:left w:w="70" w:type="dxa"/>
              <w:bottom w:w="0" w:type="dxa"/>
              <w:right w:w="70" w:type="dxa"/>
            </w:tcMar>
            <w:vAlign w:val="center"/>
          </w:tcPr>
          <w:p w14:paraId="1E70664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景观绿</w:t>
            </w:r>
            <w:r>
              <w:rPr>
                <w:rFonts w:hint="eastAsia" w:ascii="宋体" w:hAnsi="宋体" w:eastAsia="宋体" w:cs="宋体"/>
                <w:color w:val="auto"/>
                <w:sz w:val="24"/>
                <w:szCs w:val="24"/>
                <w:lang w:val="en-US" w:eastAsia="zh-CN"/>
              </w:rPr>
              <w:t>地</w:t>
            </w:r>
          </w:p>
        </w:tc>
        <w:tc>
          <w:tcPr>
            <w:tcW w:w="1365" w:type="dxa"/>
            <w:shd w:val="clear" w:color="auto" w:fill="auto"/>
            <w:tcMar>
              <w:top w:w="0" w:type="dxa"/>
              <w:left w:w="70" w:type="dxa"/>
              <w:bottom w:w="0" w:type="dxa"/>
              <w:right w:w="70" w:type="dxa"/>
            </w:tcMar>
            <w:vAlign w:val="center"/>
          </w:tcPr>
          <w:p w14:paraId="53D7693E">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315763</w:t>
            </w:r>
          </w:p>
        </w:tc>
        <w:tc>
          <w:tcPr>
            <w:tcW w:w="1395" w:type="dxa"/>
            <w:shd w:val="clear" w:color="auto" w:fill="auto"/>
            <w:tcMar>
              <w:top w:w="0" w:type="dxa"/>
              <w:left w:w="70" w:type="dxa"/>
              <w:bottom w:w="0" w:type="dxa"/>
              <w:right w:w="70" w:type="dxa"/>
            </w:tcMar>
            <w:vAlign w:val="center"/>
          </w:tcPr>
          <w:p w14:paraId="4FD15C8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753" w:type="dxa"/>
            <w:vMerge w:val="restart"/>
            <w:shd w:val="clear" w:color="auto" w:fill="auto"/>
            <w:tcMar>
              <w:top w:w="0" w:type="dxa"/>
              <w:left w:w="70" w:type="dxa"/>
              <w:bottom w:w="0" w:type="dxa"/>
              <w:right w:w="70" w:type="dxa"/>
            </w:tcMar>
            <w:vAlign w:val="center"/>
          </w:tcPr>
          <w:p w14:paraId="0383AEB7">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3年</w:t>
            </w:r>
          </w:p>
        </w:tc>
        <w:tc>
          <w:tcPr>
            <w:tcW w:w="0" w:type="auto"/>
            <w:vMerge w:val="restart"/>
            <w:shd w:val="clear" w:color="auto" w:fill="auto"/>
            <w:tcMar>
              <w:top w:w="0" w:type="dxa"/>
              <w:left w:w="70" w:type="dxa"/>
              <w:bottom w:w="0" w:type="dxa"/>
              <w:right w:w="70" w:type="dxa"/>
            </w:tcMar>
            <w:vAlign w:val="center"/>
          </w:tcPr>
          <w:p w14:paraId="33C5D427">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both"/>
              <w:textAlignment w:val="auto"/>
              <w:rPr>
                <w:rFonts w:hint="eastAsia" w:ascii="宋体" w:hAnsi="宋体" w:eastAsia="宋体" w:cs="宋体"/>
                <w:color w:val="auto"/>
                <w:sz w:val="24"/>
                <w:szCs w:val="24"/>
              </w:rPr>
            </w:pPr>
          </w:p>
        </w:tc>
      </w:tr>
      <w:tr w14:paraId="6CD3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0" w:hRule="atLeast"/>
          <w:tblCellSpacing w:w="15" w:type="dxa"/>
        </w:trPr>
        <w:tc>
          <w:tcPr>
            <w:tcW w:w="1545" w:type="dxa"/>
            <w:vMerge w:val="continue"/>
            <w:shd w:val="clear" w:color="auto" w:fill="auto"/>
            <w:tcMar>
              <w:top w:w="0" w:type="dxa"/>
              <w:left w:w="70" w:type="dxa"/>
              <w:bottom w:w="0" w:type="dxa"/>
              <w:right w:w="70" w:type="dxa"/>
            </w:tcMar>
            <w:vAlign w:val="center"/>
          </w:tcPr>
          <w:p w14:paraId="2061F8EC">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2130" w:type="dxa"/>
            <w:vMerge w:val="continue"/>
            <w:shd w:val="clear" w:color="auto" w:fill="auto"/>
            <w:tcMar>
              <w:top w:w="0" w:type="dxa"/>
              <w:left w:w="70" w:type="dxa"/>
              <w:bottom w:w="0" w:type="dxa"/>
              <w:right w:w="70" w:type="dxa"/>
            </w:tcMar>
            <w:vAlign w:val="center"/>
          </w:tcPr>
          <w:p w14:paraId="57EE50B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800" w:type="dxa"/>
            <w:shd w:val="clear" w:color="auto" w:fill="auto"/>
            <w:tcMar>
              <w:top w:w="0" w:type="dxa"/>
              <w:left w:w="70" w:type="dxa"/>
              <w:bottom w:w="0" w:type="dxa"/>
              <w:right w:w="70" w:type="dxa"/>
            </w:tcMar>
            <w:vAlign w:val="center"/>
          </w:tcPr>
          <w:p w14:paraId="7D7C105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一年生草花播种及养护（每年3茬）</w:t>
            </w:r>
          </w:p>
        </w:tc>
        <w:tc>
          <w:tcPr>
            <w:tcW w:w="1365" w:type="dxa"/>
            <w:shd w:val="clear" w:color="auto" w:fill="auto"/>
            <w:tcMar>
              <w:top w:w="0" w:type="dxa"/>
              <w:left w:w="70" w:type="dxa"/>
              <w:bottom w:w="0" w:type="dxa"/>
              <w:right w:w="70" w:type="dxa"/>
            </w:tcMar>
            <w:vAlign w:val="center"/>
          </w:tcPr>
          <w:p w14:paraId="44105115">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45410</w:t>
            </w:r>
          </w:p>
        </w:tc>
        <w:tc>
          <w:tcPr>
            <w:tcW w:w="1395" w:type="dxa"/>
            <w:vMerge w:val="restart"/>
            <w:shd w:val="clear" w:color="auto" w:fill="auto"/>
            <w:tcMar>
              <w:top w:w="0" w:type="dxa"/>
              <w:left w:w="70" w:type="dxa"/>
              <w:bottom w:w="0" w:type="dxa"/>
              <w:right w:w="70" w:type="dxa"/>
            </w:tcMar>
            <w:vAlign w:val="center"/>
          </w:tcPr>
          <w:p w14:paraId="585CA69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根据需要自行配置</w:t>
            </w:r>
          </w:p>
          <w:p w14:paraId="3DA98F54">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753" w:type="dxa"/>
            <w:vMerge w:val="continue"/>
            <w:shd w:val="clear" w:color="auto" w:fill="auto"/>
            <w:tcMar>
              <w:top w:w="0" w:type="dxa"/>
              <w:left w:w="70" w:type="dxa"/>
              <w:bottom w:w="0" w:type="dxa"/>
              <w:right w:w="70" w:type="dxa"/>
            </w:tcMar>
            <w:vAlign w:val="center"/>
          </w:tcPr>
          <w:p w14:paraId="60886C4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0" w:type="auto"/>
            <w:vMerge w:val="continue"/>
            <w:shd w:val="clear" w:color="auto" w:fill="auto"/>
            <w:tcMar>
              <w:top w:w="0" w:type="dxa"/>
              <w:left w:w="70" w:type="dxa"/>
              <w:bottom w:w="0" w:type="dxa"/>
              <w:right w:w="70" w:type="dxa"/>
            </w:tcMar>
            <w:vAlign w:val="center"/>
          </w:tcPr>
          <w:p w14:paraId="340280E8">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7128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0" w:hRule="atLeast"/>
          <w:tblCellSpacing w:w="15" w:type="dxa"/>
        </w:trPr>
        <w:tc>
          <w:tcPr>
            <w:tcW w:w="1545" w:type="dxa"/>
            <w:vMerge w:val="continue"/>
            <w:shd w:val="clear" w:color="auto" w:fill="auto"/>
            <w:tcMar>
              <w:top w:w="0" w:type="dxa"/>
              <w:left w:w="70" w:type="dxa"/>
              <w:bottom w:w="0" w:type="dxa"/>
              <w:right w:w="70" w:type="dxa"/>
            </w:tcMar>
            <w:vAlign w:val="center"/>
          </w:tcPr>
          <w:p w14:paraId="2C4926E6">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2130" w:type="dxa"/>
            <w:vMerge w:val="continue"/>
            <w:shd w:val="clear" w:color="auto" w:fill="auto"/>
            <w:tcMar>
              <w:top w:w="0" w:type="dxa"/>
              <w:left w:w="70" w:type="dxa"/>
              <w:bottom w:w="0" w:type="dxa"/>
              <w:right w:w="70" w:type="dxa"/>
            </w:tcMar>
            <w:vAlign w:val="center"/>
          </w:tcPr>
          <w:p w14:paraId="5684422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800" w:type="dxa"/>
            <w:shd w:val="clear" w:color="auto" w:fill="auto"/>
            <w:tcMar>
              <w:top w:w="0" w:type="dxa"/>
              <w:left w:w="70" w:type="dxa"/>
              <w:bottom w:w="0" w:type="dxa"/>
              <w:right w:w="70" w:type="dxa"/>
            </w:tcMar>
            <w:vAlign w:val="center"/>
          </w:tcPr>
          <w:p w14:paraId="589E199E">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多年生草花播种及养护（每年2茬）</w:t>
            </w:r>
          </w:p>
        </w:tc>
        <w:tc>
          <w:tcPr>
            <w:tcW w:w="1365" w:type="dxa"/>
            <w:shd w:val="clear" w:color="auto" w:fill="auto"/>
            <w:tcMar>
              <w:top w:w="0" w:type="dxa"/>
              <w:left w:w="70" w:type="dxa"/>
              <w:bottom w:w="0" w:type="dxa"/>
              <w:right w:w="70" w:type="dxa"/>
            </w:tcMar>
            <w:vAlign w:val="center"/>
          </w:tcPr>
          <w:p w14:paraId="61540C3A">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28716</w:t>
            </w:r>
          </w:p>
        </w:tc>
        <w:tc>
          <w:tcPr>
            <w:tcW w:w="1395" w:type="dxa"/>
            <w:vMerge w:val="continue"/>
            <w:shd w:val="clear" w:color="auto" w:fill="auto"/>
            <w:tcMar>
              <w:top w:w="0" w:type="dxa"/>
              <w:left w:w="70" w:type="dxa"/>
              <w:bottom w:w="0" w:type="dxa"/>
              <w:right w:w="70" w:type="dxa"/>
            </w:tcMar>
            <w:vAlign w:val="center"/>
          </w:tcPr>
          <w:p w14:paraId="2DD615FF">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753" w:type="dxa"/>
            <w:vMerge w:val="continue"/>
            <w:shd w:val="clear" w:color="auto" w:fill="auto"/>
            <w:tcMar>
              <w:top w:w="0" w:type="dxa"/>
              <w:left w:w="70" w:type="dxa"/>
              <w:bottom w:w="0" w:type="dxa"/>
              <w:right w:w="70" w:type="dxa"/>
            </w:tcMar>
            <w:vAlign w:val="center"/>
          </w:tcPr>
          <w:p w14:paraId="3C7E46A2">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0" w:type="auto"/>
            <w:vMerge w:val="continue"/>
            <w:shd w:val="clear" w:color="auto" w:fill="auto"/>
            <w:tcMar>
              <w:top w:w="0" w:type="dxa"/>
              <w:left w:w="70" w:type="dxa"/>
              <w:bottom w:w="0" w:type="dxa"/>
              <w:right w:w="70" w:type="dxa"/>
            </w:tcMar>
            <w:vAlign w:val="center"/>
          </w:tcPr>
          <w:p w14:paraId="32A39F93">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70DF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0" w:hRule="atLeast"/>
          <w:tblCellSpacing w:w="15" w:type="dxa"/>
        </w:trPr>
        <w:tc>
          <w:tcPr>
            <w:tcW w:w="1545" w:type="dxa"/>
            <w:shd w:val="clear" w:color="auto" w:fill="auto"/>
            <w:tcMar>
              <w:top w:w="0" w:type="dxa"/>
              <w:left w:w="70" w:type="dxa"/>
              <w:bottom w:w="0" w:type="dxa"/>
              <w:right w:w="70" w:type="dxa"/>
            </w:tcMar>
            <w:vAlign w:val="center"/>
          </w:tcPr>
          <w:p w14:paraId="1A50F2D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环南台岛滨江休闲路解放大桥至花海公园段绿化</w:t>
            </w:r>
            <w:r>
              <w:rPr>
                <w:rFonts w:hint="eastAsia" w:ascii="宋体" w:hAnsi="宋体" w:eastAsia="宋体" w:cs="宋体"/>
                <w:color w:val="auto"/>
                <w:sz w:val="24"/>
                <w:szCs w:val="24"/>
                <w:lang w:val="en-US" w:eastAsia="zh-CN"/>
              </w:rPr>
              <w:t>养护服务</w:t>
            </w:r>
            <w:r>
              <w:rPr>
                <w:rFonts w:hint="eastAsia" w:ascii="宋体" w:hAnsi="宋体" w:eastAsia="宋体" w:cs="宋体"/>
                <w:color w:val="auto"/>
                <w:sz w:val="24"/>
                <w:szCs w:val="24"/>
              </w:rPr>
              <w:t>项目</w:t>
            </w:r>
          </w:p>
        </w:tc>
        <w:tc>
          <w:tcPr>
            <w:tcW w:w="2130" w:type="dxa"/>
            <w:shd w:val="clear" w:color="auto" w:fill="auto"/>
            <w:tcMar>
              <w:top w:w="0" w:type="dxa"/>
              <w:left w:w="70" w:type="dxa"/>
              <w:bottom w:w="0" w:type="dxa"/>
              <w:right w:w="70" w:type="dxa"/>
            </w:tcMar>
            <w:vAlign w:val="center"/>
          </w:tcPr>
          <w:p w14:paraId="5E812D3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环南台岛滨江休闲路（解放大桥至花海公园段）</w:t>
            </w:r>
          </w:p>
        </w:tc>
        <w:tc>
          <w:tcPr>
            <w:tcW w:w="1800" w:type="dxa"/>
            <w:shd w:val="clear" w:color="auto" w:fill="auto"/>
            <w:tcMar>
              <w:top w:w="0" w:type="dxa"/>
              <w:left w:w="70" w:type="dxa"/>
              <w:bottom w:w="0" w:type="dxa"/>
              <w:right w:w="70" w:type="dxa"/>
            </w:tcMar>
            <w:vAlign w:val="center"/>
          </w:tcPr>
          <w:p w14:paraId="4D8E9DA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景观绿地</w:t>
            </w:r>
          </w:p>
        </w:tc>
        <w:tc>
          <w:tcPr>
            <w:tcW w:w="1365" w:type="dxa"/>
            <w:shd w:val="clear" w:color="auto" w:fill="auto"/>
            <w:tcMar>
              <w:top w:w="0" w:type="dxa"/>
              <w:left w:w="70" w:type="dxa"/>
              <w:bottom w:w="0" w:type="dxa"/>
              <w:right w:w="70" w:type="dxa"/>
            </w:tcMar>
            <w:vAlign w:val="center"/>
          </w:tcPr>
          <w:p w14:paraId="3BC4FD4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18777.93</w:t>
            </w:r>
          </w:p>
        </w:tc>
        <w:tc>
          <w:tcPr>
            <w:tcW w:w="1395" w:type="dxa"/>
            <w:shd w:val="clear" w:color="auto" w:fill="auto"/>
            <w:tcMar>
              <w:top w:w="0" w:type="dxa"/>
              <w:left w:w="70" w:type="dxa"/>
              <w:bottom w:w="0" w:type="dxa"/>
              <w:right w:w="70" w:type="dxa"/>
            </w:tcMar>
            <w:vAlign w:val="center"/>
          </w:tcPr>
          <w:p w14:paraId="5B3D088F">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753" w:type="dxa"/>
            <w:shd w:val="clear" w:color="auto" w:fill="auto"/>
            <w:tcMar>
              <w:top w:w="0" w:type="dxa"/>
              <w:left w:w="70" w:type="dxa"/>
              <w:bottom w:w="0" w:type="dxa"/>
              <w:right w:w="70" w:type="dxa"/>
            </w:tcMar>
            <w:vAlign w:val="center"/>
          </w:tcPr>
          <w:p w14:paraId="099FB11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3年</w:t>
            </w:r>
          </w:p>
        </w:tc>
        <w:tc>
          <w:tcPr>
            <w:tcW w:w="0" w:type="auto"/>
            <w:vMerge w:val="continue"/>
            <w:shd w:val="clear" w:color="auto" w:fill="auto"/>
            <w:tcMar>
              <w:top w:w="0" w:type="dxa"/>
              <w:left w:w="70" w:type="dxa"/>
              <w:bottom w:w="0" w:type="dxa"/>
              <w:right w:w="70" w:type="dxa"/>
            </w:tcMar>
            <w:vAlign w:val="center"/>
          </w:tcPr>
          <w:p w14:paraId="2E4599F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bl>
    <w:p w14:paraId="7CBE27AD">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left"/>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（二）养护职责</w:t>
      </w:r>
    </w:p>
    <w:p w14:paraId="0E4C535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1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★1、按照《城市园林绿地养护质量标准》、</w:t>
      </w:r>
      <w:r>
        <w:rPr>
          <w:rFonts w:hint="eastAsia" w:ascii="宋体" w:hAnsi="宋体" w:cs="宋体"/>
          <w:color w:val="auto"/>
          <w:sz w:val="24"/>
          <w:szCs w:val="24"/>
          <w:lang w:val="en-US" w:eastAsia="zh-CN"/>
        </w:rPr>
        <w:t>福州市园林中心颁布的</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福州市市管公园绿化分级养护质量标准及评分细则（试行）</w:t>
      </w: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)；《闽江公园草花播种督查考核登记表》(附件</w:t>
      </w:r>
      <w:r>
        <w:rPr>
          <w:rFonts w:hint="default" w:ascii="宋体" w:hAnsi="宋体" w:eastAsia="宋体" w:cs="宋体"/>
          <w:color w:val="auto"/>
          <w:sz w:val="24"/>
          <w:szCs w:val="24"/>
          <w:lang w:val="en-US"/>
        </w:rPr>
        <w:t>2</w:t>
      </w:r>
      <w:r>
        <w:rPr>
          <w:rFonts w:hint="eastAsia" w:ascii="宋体" w:hAnsi="宋体" w:eastAsia="宋体" w:cs="宋体"/>
          <w:color w:val="auto"/>
          <w:sz w:val="24"/>
          <w:szCs w:val="24"/>
        </w:rPr>
        <w:t>)；《闽江公园所属园区</w:t>
      </w:r>
      <w:r>
        <w:rPr>
          <w:rFonts w:hint="eastAsia" w:ascii="宋体" w:hAnsi="宋体" w:cs="宋体"/>
          <w:color w:val="auto"/>
          <w:sz w:val="24"/>
          <w:szCs w:val="24"/>
          <w:lang w:eastAsia="zh-CN"/>
        </w:rPr>
        <w:t>草花播种项目质量考核标准与评分依据</w:t>
      </w: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eastAsia="宋体" w:cs="宋体"/>
          <w:color w:val="auto"/>
          <w:sz w:val="24"/>
          <w:szCs w:val="24"/>
        </w:rPr>
        <w:t>《闽江公园所属园区</w:t>
      </w:r>
      <w:r>
        <w:rPr>
          <w:rFonts w:hint="eastAsia" w:ascii="宋体" w:hAnsi="宋体" w:cs="宋体"/>
          <w:color w:val="auto"/>
          <w:sz w:val="24"/>
          <w:szCs w:val="24"/>
          <w:lang w:val="en-US" w:eastAsia="zh-CN"/>
        </w:rPr>
        <w:t>绿化养护</w:t>
      </w:r>
      <w:r>
        <w:rPr>
          <w:rFonts w:hint="eastAsia" w:ascii="宋体" w:hAnsi="宋体" w:eastAsia="宋体" w:cs="宋体"/>
          <w:color w:val="auto"/>
          <w:sz w:val="24"/>
          <w:szCs w:val="24"/>
        </w:rPr>
        <w:t>项目考核细则》(附件</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中的养护质量标准执行，中标人应遵守公园管理规定，服从采购人管理。养护期限内，中标人应为本项目设立一名项目负责人专门管理本项目，中标人应按照绿化养护操作规程及绿化养护质量标准，制定合理的施工方案，合理组织，精心养护，保质保量完成养护管理任务。</w:t>
      </w:r>
      <w:r>
        <w:rPr>
          <w:rFonts w:hint="eastAsia" w:ascii="宋体" w:hAnsi="宋体" w:eastAsia="宋体" w:cs="宋体"/>
          <w:color w:val="auto"/>
          <w:sz w:val="24"/>
          <w:szCs w:val="24"/>
          <w:lang w:val="en-US" w:eastAsia="zh-CN"/>
        </w:rPr>
        <w:t>在招标文件</w:t>
      </w:r>
      <w:r>
        <w:rPr>
          <w:rFonts w:hint="eastAsia" w:ascii="宋体" w:hAnsi="宋体" w:cs="宋体"/>
          <w:color w:val="auto"/>
          <w:sz w:val="24"/>
          <w:szCs w:val="24"/>
          <w:lang w:val="en-US" w:eastAsia="zh-CN"/>
        </w:rPr>
        <w:t>发布</w:t>
      </w:r>
      <w:r>
        <w:rPr>
          <w:rFonts w:hint="eastAsia" w:ascii="宋体" w:hAnsi="宋体" w:eastAsia="宋体" w:cs="宋体"/>
          <w:color w:val="auto"/>
          <w:sz w:val="24"/>
          <w:szCs w:val="24"/>
          <w:lang w:val="en-US" w:eastAsia="zh-CN"/>
        </w:rPr>
        <w:t>后及合同实施过程中，若福州市园林中心发布新的绿化养护相关标准，从其规定。</w:t>
      </w:r>
    </w:p>
    <w:p w14:paraId="0F07DC7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1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★2、作业内容</w:t>
      </w:r>
    </w:p>
    <w:tbl>
      <w:tblPr>
        <w:tblStyle w:val="15"/>
        <w:tblW w:w="4993"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5"/>
        <w:gridCol w:w="631"/>
        <w:gridCol w:w="2963"/>
        <w:gridCol w:w="2808"/>
        <w:gridCol w:w="2700"/>
      </w:tblGrid>
      <w:tr w14:paraId="561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shd w:val="clear" w:color="auto" w:fill="auto"/>
            <w:tcMar>
              <w:top w:w="0" w:type="dxa"/>
              <w:left w:w="50" w:type="dxa"/>
              <w:bottom w:w="0" w:type="dxa"/>
              <w:right w:w="50" w:type="dxa"/>
            </w:tcMar>
            <w:vAlign w:val="center"/>
          </w:tcPr>
          <w:p w14:paraId="1D5D38D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2" w:type="pct"/>
            <w:shd w:val="clear" w:color="auto" w:fill="auto"/>
            <w:tcMar>
              <w:top w:w="0" w:type="dxa"/>
              <w:left w:w="50" w:type="dxa"/>
              <w:bottom w:w="0" w:type="dxa"/>
              <w:right w:w="50" w:type="dxa"/>
            </w:tcMar>
            <w:vAlign w:val="center"/>
          </w:tcPr>
          <w:p w14:paraId="2445D6B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作业分类</w:t>
            </w:r>
          </w:p>
        </w:tc>
        <w:tc>
          <w:tcPr>
            <w:tcW w:w="1522" w:type="pct"/>
            <w:shd w:val="clear" w:color="auto" w:fill="auto"/>
            <w:tcMar>
              <w:top w:w="0" w:type="dxa"/>
              <w:left w:w="50" w:type="dxa"/>
              <w:bottom w:w="0" w:type="dxa"/>
              <w:right w:w="50" w:type="dxa"/>
            </w:tcMar>
            <w:vAlign w:val="center"/>
          </w:tcPr>
          <w:p w14:paraId="482BDC6E">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作业内容</w:t>
            </w:r>
          </w:p>
        </w:tc>
        <w:tc>
          <w:tcPr>
            <w:tcW w:w="1442" w:type="pct"/>
            <w:shd w:val="clear" w:color="auto" w:fill="auto"/>
            <w:tcMar>
              <w:top w:w="0" w:type="dxa"/>
              <w:left w:w="50" w:type="dxa"/>
              <w:bottom w:w="0" w:type="dxa"/>
              <w:right w:w="50" w:type="dxa"/>
            </w:tcMar>
            <w:vAlign w:val="center"/>
          </w:tcPr>
          <w:p w14:paraId="59453E35">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养护标准</w:t>
            </w:r>
          </w:p>
        </w:tc>
        <w:tc>
          <w:tcPr>
            <w:tcW w:w="1378" w:type="pct"/>
            <w:shd w:val="clear" w:color="auto" w:fill="auto"/>
            <w:tcMar>
              <w:top w:w="0" w:type="dxa"/>
              <w:left w:w="50" w:type="dxa"/>
              <w:bottom w:w="0" w:type="dxa"/>
              <w:right w:w="50" w:type="dxa"/>
            </w:tcMar>
            <w:vAlign w:val="center"/>
          </w:tcPr>
          <w:p w14:paraId="7268738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9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41A5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restart"/>
            <w:shd w:val="clear" w:color="auto" w:fill="auto"/>
            <w:tcMar>
              <w:top w:w="0" w:type="dxa"/>
              <w:left w:w="50" w:type="dxa"/>
              <w:bottom w:w="0" w:type="dxa"/>
              <w:right w:w="50" w:type="dxa"/>
            </w:tcMar>
            <w:vAlign w:val="center"/>
          </w:tcPr>
          <w:p w14:paraId="47184675">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2" w:type="pct"/>
            <w:vMerge w:val="restart"/>
            <w:shd w:val="clear" w:color="auto" w:fill="auto"/>
            <w:tcMar>
              <w:top w:w="0" w:type="dxa"/>
              <w:left w:w="50" w:type="dxa"/>
              <w:bottom w:w="0" w:type="dxa"/>
              <w:right w:w="50" w:type="dxa"/>
            </w:tcMar>
            <w:vAlign w:val="center"/>
          </w:tcPr>
          <w:p w14:paraId="3F8DE92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日常绿化养护</w:t>
            </w:r>
          </w:p>
        </w:tc>
        <w:tc>
          <w:tcPr>
            <w:tcW w:w="1522" w:type="pct"/>
            <w:shd w:val="clear" w:color="auto" w:fill="auto"/>
            <w:tcMar>
              <w:top w:w="0" w:type="dxa"/>
              <w:left w:w="50" w:type="dxa"/>
              <w:bottom w:w="0" w:type="dxa"/>
              <w:right w:w="50" w:type="dxa"/>
            </w:tcMar>
            <w:vAlign w:val="center"/>
          </w:tcPr>
          <w:p w14:paraId="380D9AD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浇水、施肥、复壮</w:t>
            </w:r>
          </w:p>
        </w:tc>
        <w:tc>
          <w:tcPr>
            <w:tcW w:w="1442" w:type="pct"/>
            <w:vMerge w:val="restart"/>
            <w:shd w:val="clear" w:color="auto" w:fill="auto"/>
            <w:tcMar>
              <w:top w:w="0" w:type="dxa"/>
              <w:left w:w="50" w:type="dxa"/>
              <w:bottom w:w="0" w:type="dxa"/>
              <w:right w:w="50" w:type="dxa"/>
            </w:tcMar>
            <w:vAlign w:val="center"/>
          </w:tcPr>
          <w:p w14:paraId="1251B41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《城市园林绿地养护质量标准》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福州市园林中心颁布的</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福州市市管公园绿化分级养护质量标准及评分细则（试行）</w:t>
            </w: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eastAsia="宋体" w:cs="宋体"/>
                <w:color w:val="auto"/>
                <w:sz w:val="24"/>
                <w:szCs w:val="24"/>
              </w:rPr>
              <w:t>《闽江公园所属园区</w:t>
            </w:r>
            <w:r>
              <w:rPr>
                <w:rFonts w:hint="eastAsia" w:ascii="宋体" w:hAnsi="宋体" w:cs="宋体"/>
                <w:color w:val="auto"/>
                <w:sz w:val="24"/>
                <w:szCs w:val="24"/>
                <w:lang w:val="en-US" w:eastAsia="zh-CN"/>
              </w:rPr>
              <w:t>绿化养护</w:t>
            </w:r>
            <w:r>
              <w:rPr>
                <w:rFonts w:hint="eastAsia" w:ascii="宋体" w:hAnsi="宋体" w:eastAsia="宋体" w:cs="宋体"/>
                <w:color w:val="auto"/>
                <w:sz w:val="24"/>
                <w:szCs w:val="24"/>
              </w:rPr>
              <w:t>项目考核细则》(附件</w:t>
            </w:r>
            <w:r>
              <w:rPr>
                <w:rFonts w:hint="default" w:ascii="宋体" w:hAnsi="宋体" w:cs="宋体"/>
                <w:color w:val="auto"/>
                <w:sz w:val="24"/>
                <w:szCs w:val="24"/>
                <w:lang w:val="en-US" w:eastAsia="zh-CN"/>
              </w:rPr>
              <w:t>4</w:t>
            </w:r>
            <w:r>
              <w:rPr>
                <w:rFonts w:hint="eastAsia" w:ascii="宋体" w:hAnsi="宋体" w:eastAsia="宋体" w:cs="宋体"/>
                <w:color w:val="auto"/>
                <w:sz w:val="24"/>
                <w:szCs w:val="24"/>
              </w:rPr>
              <w:t>)</w:t>
            </w:r>
          </w:p>
        </w:tc>
        <w:tc>
          <w:tcPr>
            <w:tcW w:w="1378" w:type="pct"/>
            <w:vMerge w:val="restart"/>
            <w:shd w:val="clear" w:color="auto" w:fill="auto"/>
            <w:tcMar>
              <w:top w:w="0" w:type="dxa"/>
              <w:left w:w="50" w:type="dxa"/>
              <w:bottom w:w="0" w:type="dxa"/>
              <w:right w:w="50" w:type="dxa"/>
            </w:tcMar>
            <w:vAlign w:val="center"/>
          </w:tcPr>
          <w:p w14:paraId="4DD544E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9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合同范围内</w:t>
            </w:r>
          </w:p>
        </w:tc>
      </w:tr>
      <w:tr w14:paraId="3DCF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2976B1E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70E342EA">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03FA75CB">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抹芽、修剪、打草、除杂草</w:t>
            </w:r>
          </w:p>
        </w:tc>
        <w:tc>
          <w:tcPr>
            <w:tcW w:w="1442" w:type="pct"/>
            <w:vMerge w:val="continue"/>
            <w:shd w:val="clear" w:color="auto" w:fill="auto"/>
            <w:tcMar>
              <w:top w:w="0" w:type="dxa"/>
              <w:left w:w="50" w:type="dxa"/>
              <w:bottom w:w="0" w:type="dxa"/>
              <w:right w:w="50" w:type="dxa"/>
            </w:tcMar>
            <w:vAlign w:val="center"/>
          </w:tcPr>
          <w:p w14:paraId="3C319EA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1E8B4E0B">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2D34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35D36886">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31CCBF12">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54CA1A3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切边、松土、围树堰</w:t>
            </w:r>
          </w:p>
        </w:tc>
        <w:tc>
          <w:tcPr>
            <w:tcW w:w="1442" w:type="pct"/>
            <w:vMerge w:val="continue"/>
            <w:shd w:val="clear" w:color="auto" w:fill="auto"/>
            <w:tcMar>
              <w:top w:w="0" w:type="dxa"/>
              <w:left w:w="50" w:type="dxa"/>
              <w:bottom w:w="0" w:type="dxa"/>
              <w:right w:w="50" w:type="dxa"/>
            </w:tcMar>
            <w:vAlign w:val="center"/>
          </w:tcPr>
          <w:p w14:paraId="35C1DB81">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42F6BF71">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28C5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61802DD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3BD6206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65E7E84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植物移植、种植、补植</w:t>
            </w:r>
          </w:p>
        </w:tc>
        <w:tc>
          <w:tcPr>
            <w:tcW w:w="1442" w:type="pct"/>
            <w:vMerge w:val="continue"/>
            <w:shd w:val="clear" w:color="auto" w:fill="auto"/>
            <w:tcMar>
              <w:top w:w="0" w:type="dxa"/>
              <w:left w:w="50" w:type="dxa"/>
              <w:bottom w:w="0" w:type="dxa"/>
              <w:right w:w="50" w:type="dxa"/>
            </w:tcMar>
            <w:vAlign w:val="center"/>
          </w:tcPr>
          <w:p w14:paraId="55336DEE">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0C548FF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0C42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3D1F3A6F">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64906473">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358E9A0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防寒防风、抗旱抗涝</w:t>
            </w:r>
          </w:p>
        </w:tc>
        <w:tc>
          <w:tcPr>
            <w:tcW w:w="1442" w:type="pct"/>
            <w:vMerge w:val="continue"/>
            <w:shd w:val="clear" w:color="auto" w:fill="auto"/>
            <w:tcMar>
              <w:top w:w="0" w:type="dxa"/>
              <w:left w:w="50" w:type="dxa"/>
              <w:bottom w:w="0" w:type="dxa"/>
              <w:right w:w="50" w:type="dxa"/>
            </w:tcMar>
            <w:vAlign w:val="center"/>
          </w:tcPr>
          <w:p w14:paraId="5CAFBAC1">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057A28EA">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4CB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05EBB60C">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21EC7375">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230B3A26">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树木扶正、树撑维护</w:t>
            </w:r>
          </w:p>
        </w:tc>
        <w:tc>
          <w:tcPr>
            <w:tcW w:w="1442" w:type="pct"/>
            <w:vMerge w:val="continue"/>
            <w:shd w:val="clear" w:color="auto" w:fill="auto"/>
            <w:tcMar>
              <w:top w:w="0" w:type="dxa"/>
              <w:left w:w="50" w:type="dxa"/>
              <w:bottom w:w="0" w:type="dxa"/>
              <w:right w:w="50" w:type="dxa"/>
            </w:tcMar>
            <w:vAlign w:val="center"/>
          </w:tcPr>
          <w:p w14:paraId="0115CCF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1F13D09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21F8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4ED93041">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10AF1561">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37D77A6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病虫害防治</w:t>
            </w:r>
          </w:p>
        </w:tc>
        <w:tc>
          <w:tcPr>
            <w:tcW w:w="1442" w:type="pct"/>
            <w:vMerge w:val="continue"/>
            <w:shd w:val="clear" w:color="auto" w:fill="auto"/>
            <w:tcMar>
              <w:top w:w="0" w:type="dxa"/>
              <w:left w:w="50" w:type="dxa"/>
              <w:bottom w:w="0" w:type="dxa"/>
              <w:right w:w="50" w:type="dxa"/>
            </w:tcMar>
            <w:vAlign w:val="center"/>
          </w:tcPr>
          <w:p w14:paraId="699A078C">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11EB8395">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62B3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07B3C3CE">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167D4F2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2FA6FF37">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水生植物养护</w:t>
            </w:r>
          </w:p>
        </w:tc>
        <w:tc>
          <w:tcPr>
            <w:tcW w:w="1442" w:type="pct"/>
            <w:vMerge w:val="continue"/>
            <w:shd w:val="clear" w:color="auto" w:fill="auto"/>
            <w:tcMar>
              <w:top w:w="0" w:type="dxa"/>
              <w:left w:w="50" w:type="dxa"/>
              <w:bottom w:w="0" w:type="dxa"/>
              <w:right w:w="50" w:type="dxa"/>
            </w:tcMar>
            <w:vAlign w:val="center"/>
          </w:tcPr>
          <w:p w14:paraId="34307D7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61B22B92">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5DF1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7C38014E">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48078516">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7D581186">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枯枝落叶清理</w:t>
            </w:r>
          </w:p>
        </w:tc>
        <w:tc>
          <w:tcPr>
            <w:tcW w:w="1442" w:type="pct"/>
            <w:vMerge w:val="continue"/>
            <w:shd w:val="clear" w:color="auto" w:fill="auto"/>
            <w:tcMar>
              <w:top w:w="0" w:type="dxa"/>
              <w:left w:w="50" w:type="dxa"/>
              <w:bottom w:w="0" w:type="dxa"/>
              <w:right w:w="50" w:type="dxa"/>
            </w:tcMar>
            <w:vAlign w:val="center"/>
          </w:tcPr>
          <w:p w14:paraId="301BA9D9">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25198B88">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4BB4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7E9E5F33">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7072432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3A8A72D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绿化垃圾的收集及清运</w:t>
            </w:r>
          </w:p>
        </w:tc>
        <w:tc>
          <w:tcPr>
            <w:tcW w:w="1442" w:type="pct"/>
            <w:vMerge w:val="continue"/>
            <w:shd w:val="clear" w:color="auto" w:fill="auto"/>
            <w:tcMar>
              <w:top w:w="0" w:type="dxa"/>
              <w:left w:w="50" w:type="dxa"/>
              <w:bottom w:w="0" w:type="dxa"/>
              <w:right w:w="50" w:type="dxa"/>
            </w:tcMar>
            <w:vAlign w:val="center"/>
          </w:tcPr>
          <w:p w14:paraId="46855231">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7620EA6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3B1F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3DCC1B2E">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20988DB6">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7475969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重要节庆、大型活动、工作检查</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时花的养护作业</w:t>
            </w:r>
          </w:p>
        </w:tc>
        <w:tc>
          <w:tcPr>
            <w:tcW w:w="1442" w:type="pct"/>
            <w:vMerge w:val="continue"/>
            <w:shd w:val="clear" w:color="auto" w:fill="auto"/>
            <w:tcMar>
              <w:top w:w="0" w:type="dxa"/>
              <w:left w:w="50" w:type="dxa"/>
              <w:bottom w:w="0" w:type="dxa"/>
              <w:right w:w="50" w:type="dxa"/>
            </w:tcMar>
            <w:vAlign w:val="center"/>
          </w:tcPr>
          <w:p w14:paraId="256F7CA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4D101FB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1D9D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5AC87D7B">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7694C0FF">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641CDDD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抢险救灾、灾后重建</w:t>
            </w:r>
          </w:p>
        </w:tc>
        <w:tc>
          <w:tcPr>
            <w:tcW w:w="1442" w:type="pct"/>
            <w:vMerge w:val="continue"/>
            <w:shd w:val="clear" w:color="auto" w:fill="auto"/>
            <w:tcMar>
              <w:top w:w="0" w:type="dxa"/>
              <w:left w:w="50" w:type="dxa"/>
              <w:bottom w:w="0" w:type="dxa"/>
              <w:right w:w="50" w:type="dxa"/>
            </w:tcMar>
            <w:vAlign w:val="center"/>
          </w:tcPr>
          <w:p w14:paraId="2B7827F8">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652190B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r>
      <w:tr w14:paraId="0863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blCellSpacing w:w="15" w:type="dxa"/>
        </w:trPr>
        <w:tc>
          <w:tcPr>
            <w:tcW w:w="249" w:type="pct"/>
            <w:vMerge w:val="continue"/>
            <w:shd w:val="clear" w:color="auto" w:fill="auto"/>
            <w:tcMar>
              <w:top w:w="0" w:type="dxa"/>
              <w:left w:w="50" w:type="dxa"/>
              <w:bottom w:w="0" w:type="dxa"/>
              <w:right w:w="50" w:type="dxa"/>
            </w:tcMar>
            <w:vAlign w:val="center"/>
          </w:tcPr>
          <w:p w14:paraId="6C33B14E">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48C18447">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30069D6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绿化浇水设施维护</w:t>
            </w:r>
          </w:p>
        </w:tc>
        <w:tc>
          <w:tcPr>
            <w:tcW w:w="1442" w:type="pct"/>
            <w:vMerge w:val="continue"/>
            <w:shd w:val="clear" w:color="auto" w:fill="auto"/>
            <w:tcMar>
              <w:top w:w="0" w:type="dxa"/>
              <w:left w:w="50" w:type="dxa"/>
              <w:bottom w:w="0" w:type="dxa"/>
              <w:right w:w="50" w:type="dxa"/>
            </w:tcMar>
            <w:vAlign w:val="center"/>
          </w:tcPr>
          <w:p w14:paraId="32AC72B2">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vMerge w:val="continue"/>
            <w:shd w:val="clear" w:color="auto" w:fill="auto"/>
            <w:tcMar>
              <w:top w:w="0" w:type="dxa"/>
              <w:left w:w="50" w:type="dxa"/>
              <w:bottom w:w="0" w:type="dxa"/>
              <w:right w:w="50" w:type="dxa"/>
            </w:tcMar>
            <w:vAlign w:val="center"/>
          </w:tcPr>
          <w:p w14:paraId="74C7634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r>
      <w:tr w14:paraId="557B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4" w:hRule="atLeast"/>
          <w:tblCellSpacing w:w="15" w:type="dxa"/>
        </w:trPr>
        <w:tc>
          <w:tcPr>
            <w:tcW w:w="249" w:type="pct"/>
            <w:vMerge w:val="continue"/>
            <w:shd w:val="clear" w:color="auto" w:fill="auto"/>
            <w:tcMar>
              <w:top w:w="0" w:type="dxa"/>
              <w:left w:w="50" w:type="dxa"/>
              <w:bottom w:w="0" w:type="dxa"/>
              <w:right w:w="50" w:type="dxa"/>
            </w:tcMar>
            <w:vAlign w:val="center"/>
          </w:tcPr>
          <w:p w14:paraId="4504EAFC">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304C6B0A">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shd w:val="clear" w:color="auto" w:fill="auto"/>
            <w:tcMar>
              <w:top w:w="0" w:type="dxa"/>
              <w:left w:w="50" w:type="dxa"/>
              <w:bottom w:w="0" w:type="dxa"/>
              <w:right w:w="50" w:type="dxa"/>
            </w:tcMar>
            <w:vAlign w:val="center"/>
          </w:tcPr>
          <w:p w14:paraId="3C54A9E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花坛换花</w:t>
            </w:r>
          </w:p>
        </w:tc>
        <w:tc>
          <w:tcPr>
            <w:tcW w:w="1442" w:type="pct"/>
            <w:vMerge w:val="continue"/>
            <w:shd w:val="clear" w:color="auto" w:fill="auto"/>
            <w:tcMar>
              <w:top w:w="0" w:type="dxa"/>
              <w:left w:w="50" w:type="dxa"/>
              <w:bottom w:w="0" w:type="dxa"/>
              <w:right w:w="50" w:type="dxa"/>
            </w:tcMar>
            <w:vAlign w:val="center"/>
          </w:tcPr>
          <w:p w14:paraId="3D3B0414">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378" w:type="pct"/>
            <w:shd w:val="clear" w:color="auto" w:fill="auto"/>
            <w:tcMar>
              <w:top w:w="0" w:type="dxa"/>
              <w:left w:w="50" w:type="dxa"/>
              <w:bottom w:w="0" w:type="dxa"/>
              <w:right w:w="50" w:type="dxa"/>
            </w:tcMar>
            <w:vAlign w:val="center"/>
          </w:tcPr>
          <w:p w14:paraId="6E73136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主入口、管理处门口及3号厕所门口花坛共130㎡，依据采购人的要求进行时花采购、排花、种植、养护等，应保证常年盛花，涉及费用已包含在本次项目费用中。</w:t>
            </w:r>
          </w:p>
        </w:tc>
      </w:tr>
      <w:tr w14:paraId="4461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80" w:hRule="atLeast"/>
          <w:tblCellSpacing w:w="15" w:type="dxa"/>
        </w:trPr>
        <w:tc>
          <w:tcPr>
            <w:tcW w:w="249" w:type="pct"/>
            <w:shd w:val="clear" w:color="auto" w:fill="auto"/>
            <w:tcMar>
              <w:top w:w="0" w:type="dxa"/>
              <w:left w:w="50" w:type="dxa"/>
              <w:bottom w:w="0" w:type="dxa"/>
              <w:right w:w="50" w:type="dxa"/>
            </w:tcMar>
            <w:vAlign w:val="center"/>
          </w:tcPr>
          <w:p w14:paraId="18DBC10F">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2" w:type="pct"/>
            <w:shd w:val="clear" w:color="auto" w:fill="auto"/>
            <w:tcMar>
              <w:top w:w="0" w:type="dxa"/>
              <w:left w:w="50" w:type="dxa"/>
              <w:bottom w:w="0" w:type="dxa"/>
              <w:right w:w="50" w:type="dxa"/>
            </w:tcMar>
            <w:vAlign w:val="center"/>
          </w:tcPr>
          <w:p w14:paraId="2D7611B7">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草花播种养护</w:t>
            </w:r>
          </w:p>
        </w:tc>
        <w:tc>
          <w:tcPr>
            <w:tcW w:w="1522" w:type="pct"/>
            <w:shd w:val="clear" w:color="auto" w:fill="auto"/>
            <w:tcMar>
              <w:top w:w="0" w:type="dxa"/>
              <w:left w:w="50" w:type="dxa"/>
              <w:bottom w:w="0" w:type="dxa"/>
              <w:right w:w="50" w:type="dxa"/>
            </w:tcMar>
            <w:vAlign w:val="center"/>
          </w:tcPr>
          <w:p w14:paraId="631E1F0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翻地、整地、开垄、试播、播种、浇水、打药、施肥、除草、间苗、定植、花后清理，石沟清理，土壤改良</w:t>
            </w:r>
          </w:p>
        </w:tc>
        <w:tc>
          <w:tcPr>
            <w:tcW w:w="1442" w:type="pct"/>
            <w:shd w:val="clear" w:color="auto" w:fill="auto"/>
            <w:tcMar>
              <w:top w:w="0" w:type="dxa"/>
              <w:left w:w="50" w:type="dxa"/>
              <w:bottom w:w="0" w:type="dxa"/>
              <w:right w:w="50" w:type="dxa"/>
            </w:tcMar>
            <w:vAlign w:val="center"/>
          </w:tcPr>
          <w:p w14:paraId="164731E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《闽江公园草花播种督查考核登记表》（附件</w:t>
            </w:r>
            <w:r>
              <w:rPr>
                <w:rFonts w:hint="default" w:ascii="宋体" w:hAnsi="宋体" w:eastAsia="宋体" w:cs="宋体"/>
                <w:color w:val="auto"/>
                <w:sz w:val="24"/>
                <w:szCs w:val="24"/>
                <w:lang w:val="en-US"/>
              </w:rPr>
              <w:t>2</w:t>
            </w:r>
            <w:r>
              <w:rPr>
                <w:rFonts w:hint="eastAsia" w:ascii="宋体" w:hAnsi="宋体" w:eastAsia="宋体" w:cs="宋体"/>
                <w:color w:val="auto"/>
                <w:sz w:val="24"/>
                <w:szCs w:val="24"/>
              </w:rPr>
              <w:t>）、《闽江公园所属园区</w:t>
            </w:r>
            <w:r>
              <w:rPr>
                <w:rFonts w:hint="eastAsia" w:ascii="宋体" w:hAnsi="宋体" w:cs="宋体"/>
                <w:color w:val="auto"/>
                <w:sz w:val="24"/>
                <w:szCs w:val="24"/>
                <w:lang w:eastAsia="zh-CN"/>
              </w:rPr>
              <w:t>草花播种项目质量考核标准与评分依据</w:t>
            </w:r>
            <w:r>
              <w:rPr>
                <w:rFonts w:hint="eastAsia" w:ascii="宋体" w:hAnsi="宋体" w:eastAsia="宋体" w:cs="宋体"/>
                <w:color w:val="auto"/>
                <w:sz w:val="24"/>
                <w:szCs w:val="24"/>
              </w:rPr>
              <w:t>》(附件</w:t>
            </w:r>
            <w:r>
              <w:rPr>
                <w:rFonts w:hint="default"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eastAsia="宋体" w:cs="宋体"/>
                <w:color w:val="auto"/>
                <w:sz w:val="24"/>
                <w:szCs w:val="24"/>
              </w:rPr>
              <w:t>《闽江公园所属园区</w:t>
            </w:r>
            <w:r>
              <w:rPr>
                <w:rFonts w:hint="eastAsia" w:ascii="宋体" w:hAnsi="宋体" w:cs="宋体"/>
                <w:color w:val="auto"/>
                <w:sz w:val="24"/>
                <w:szCs w:val="24"/>
                <w:lang w:val="en-US" w:eastAsia="zh-CN"/>
              </w:rPr>
              <w:t>绿化养护</w:t>
            </w:r>
            <w:r>
              <w:rPr>
                <w:rFonts w:hint="eastAsia" w:ascii="宋体" w:hAnsi="宋体" w:eastAsia="宋体" w:cs="宋体"/>
                <w:color w:val="auto"/>
                <w:sz w:val="24"/>
                <w:szCs w:val="24"/>
              </w:rPr>
              <w:t>项目考核细则》(附件</w:t>
            </w:r>
            <w:r>
              <w:rPr>
                <w:rFonts w:hint="default" w:ascii="宋体" w:hAnsi="宋体" w:cs="宋体"/>
                <w:color w:val="auto"/>
                <w:sz w:val="24"/>
                <w:szCs w:val="24"/>
                <w:lang w:val="en-US" w:eastAsia="zh-CN"/>
              </w:rPr>
              <w:t>4</w:t>
            </w:r>
            <w:r>
              <w:rPr>
                <w:rFonts w:hint="eastAsia" w:ascii="宋体" w:hAnsi="宋体" w:eastAsia="宋体" w:cs="宋体"/>
                <w:color w:val="auto"/>
                <w:sz w:val="24"/>
                <w:szCs w:val="24"/>
              </w:rPr>
              <w:t>)</w:t>
            </w:r>
          </w:p>
        </w:tc>
        <w:tc>
          <w:tcPr>
            <w:tcW w:w="1378" w:type="pct"/>
            <w:shd w:val="clear" w:color="auto" w:fill="auto"/>
            <w:tcMar>
              <w:top w:w="0" w:type="dxa"/>
              <w:left w:w="50" w:type="dxa"/>
              <w:bottom w:w="0" w:type="dxa"/>
              <w:right w:w="50" w:type="dxa"/>
            </w:tcMar>
            <w:vAlign w:val="center"/>
          </w:tcPr>
          <w:p w14:paraId="16EE827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hint="eastAsia" w:ascii="宋体" w:hAnsi="宋体" w:eastAsia="宋体" w:cs="宋体"/>
                <w:color w:val="auto"/>
                <w:sz w:val="24"/>
                <w:szCs w:val="24"/>
              </w:rPr>
              <w:t>按采购人的要求进行播种养护，</w:t>
            </w:r>
            <w:r>
              <w:rPr>
                <w:rFonts w:hint="eastAsia" w:ascii="宋体" w:hAnsi="宋体" w:eastAsia="宋体" w:cs="宋体"/>
                <w:color w:val="auto"/>
                <w:sz w:val="24"/>
                <w:szCs w:val="24"/>
                <w:lang w:val="en-US" w:eastAsia="zh-CN"/>
              </w:rPr>
              <w:t>并按要求</w:t>
            </w:r>
            <w:r>
              <w:rPr>
                <w:rFonts w:hint="eastAsia" w:ascii="宋体" w:hAnsi="宋体" w:eastAsia="宋体" w:cs="宋体"/>
                <w:color w:val="auto"/>
                <w:sz w:val="24"/>
                <w:szCs w:val="24"/>
              </w:rPr>
              <w:t>进行土壤改良，涉及费用</w:t>
            </w:r>
            <w:r>
              <w:rPr>
                <w:rFonts w:hint="eastAsia" w:ascii="宋体" w:hAnsi="宋体" w:eastAsia="宋体" w:cs="宋体"/>
                <w:color w:val="auto"/>
                <w:sz w:val="24"/>
                <w:szCs w:val="24"/>
                <w:lang w:val="en-US" w:eastAsia="zh-CN"/>
              </w:rPr>
              <w:t>包括但不限于种子、化肥、农药、人工、土壤改良费等，均</w:t>
            </w:r>
            <w:r>
              <w:rPr>
                <w:rFonts w:hint="eastAsia" w:ascii="宋体" w:hAnsi="宋体" w:eastAsia="宋体" w:cs="宋体"/>
                <w:color w:val="auto"/>
                <w:sz w:val="24"/>
                <w:szCs w:val="24"/>
              </w:rPr>
              <w:t>已包含在本次项目费用中。</w:t>
            </w:r>
          </w:p>
          <w:p w14:paraId="7BC5C298">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9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②</w:t>
            </w:r>
            <w:r>
              <w:rPr>
                <w:rFonts w:hint="eastAsia" w:ascii="宋体" w:hAnsi="宋体" w:eastAsia="宋体" w:cs="宋体"/>
                <w:bCs/>
                <w:color w:val="auto"/>
                <w:sz w:val="24"/>
                <w:szCs w:val="24"/>
              </w:rPr>
              <w:t>中标人应按采购人的要求进行播种、育种、养护等。</w:t>
            </w:r>
            <w:r>
              <w:rPr>
                <w:rFonts w:hint="eastAsia" w:ascii="宋体" w:hAnsi="宋体" w:eastAsia="宋体" w:cs="宋体"/>
                <w:bCs/>
                <w:color w:val="auto"/>
                <w:sz w:val="24"/>
                <w:szCs w:val="24"/>
                <w:lang w:val="en-US" w:eastAsia="zh-CN"/>
              </w:rPr>
              <w:t>除撒播种子外，新品种</w:t>
            </w:r>
            <w:r>
              <w:rPr>
                <w:rFonts w:hint="eastAsia" w:ascii="宋体" w:hAnsi="宋体" w:eastAsia="宋体" w:cs="宋体"/>
                <w:bCs/>
                <w:color w:val="auto"/>
                <w:sz w:val="24"/>
                <w:szCs w:val="24"/>
              </w:rPr>
              <w:t>种子</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穴盘苗、球根等品种、规格</w:t>
            </w:r>
            <w:r>
              <w:rPr>
                <w:rFonts w:hint="eastAsia" w:ascii="宋体" w:hAnsi="宋体" w:cs="宋体"/>
                <w:bCs/>
                <w:color w:val="auto"/>
                <w:sz w:val="24"/>
                <w:szCs w:val="24"/>
                <w:lang w:val="en-US" w:eastAsia="zh-CN"/>
              </w:rPr>
              <w:t>及</w:t>
            </w:r>
            <w:r>
              <w:rPr>
                <w:rFonts w:hint="eastAsia" w:ascii="宋体" w:hAnsi="宋体" w:eastAsia="宋体" w:cs="宋体"/>
                <w:bCs/>
                <w:color w:val="auto"/>
                <w:sz w:val="24"/>
                <w:szCs w:val="24"/>
                <w:lang w:val="en-US" w:eastAsia="zh-CN"/>
              </w:rPr>
              <w:t>数量需经采购人同意，</w:t>
            </w:r>
            <w:r>
              <w:rPr>
                <w:rFonts w:hint="eastAsia" w:ascii="宋体" w:hAnsi="宋体" w:eastAsia="宋体" w:cs="宋体"/>
                <w:bCs/>
                <w:color w:val="auto"/>
                <w:sz w:val="24"/>
                <w:szCs w:val="24"/>
              </w:rPr>
              <w:t>费用</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每年不低于2</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万元</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由中标人承担，</w:t>
            </w:r>
            <w:r>
              <w:rPr>
                <w:rFonts w:hint="eastAsia" w:ascii="宋体" w:hAnsi="宋体" w:eastAsia="宋体" w:cs="宋体"/>
                <w:bCs/>
                <w:color w:val="auto"/>
                <w:sz w:val="24"/>
                <w:szCs w:val="24"/>
              </w:rPr>
              <w:t>不另予计算。</w:t>
            </w:r>
          </w:p>
        </w:tc>
      </w:tr>
      <w:tr w14:paraId="4272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4" w:hRule="atLeast"/>
          <w:tblCellSpacing w:w="15" w:type="dxa"/>
        </w:trPr>
        <w:tc>
          <w:tcPr>
            <w:tcW w:w="249" w:type="pct"/>
            <w:vMerge w:val="restart"/>
            <w:shd w:val="clear" w:color="auto" w:fill="auto"/>
            <w:tcMar>
              <w:top w:w="0" w:type="dxa"/>
              <w:left w:w="50" w:type="dxa"/>
              <w:bottom w:w="0" w:type="dxa"/>
              <w:right w:w="50" w:type="dxa"/>
            </w:tcMar>
            <w:vAlign w:val="center"/>
          </w:tcPr>
          <w:p w14:paraId="664B57D4">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2" w:type="pct"/>
            <w:vMerge w:val="restart"/>
            <w:shd w:val="clear" w:color="auto" w:fill="auto"/>
            <w:tcMar>
              <w:top w:w="0" w:type="dxa"/>
              <w:left w:w="50" w:type="dxa"/>
              <w:bottom w:w="0" w:type="dxa"/>
              <w:right w:w="50" w:type="dxa"/>
            </w:tcMar>
            <w:vAlign w:val="center"/>
          </w:tcPr>
          <w:p w14:paraId="4E38BBF4">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522" w:type="pct"/>
            <w:vMerge w:val="restart"/>
            <w:shd w:val="clear" w:color="auto" w:fill="auto"/>
            <w:tcMar>
              <w:top w:w="0" w:type="dxa"/>
              <w:left w:w="50" w:type="dxa"/>
              <w:bottom w:w="0" w:type="dxa"/>
              <w:right w:w="50" w:type="dxa"/>
            </w:tcMar>
            <w:vAlign w:val="center"/>
          </w:tcPr>
          <w:p w14:paraId="7AD34287">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其他任务</w:t>
            </w:r>
          </w:p>
        </w:tc>
        <w:tc>
          <w:tcPr>
            <w:tcW w:w="1442" w:type="pct"/>
            <w:shd w:val="clear" w:color="auto" w:fill="auto"/>
            <w:tcMar>
              <w:top w:w="0" w:type="dxa"/>
              <w:left w:w="50" w:type="dxa"/>
              <w:bottom w:w="0" w:type="dxa"/>
              <w:right w:w="50" w:type="dxa"/>
            </w:tcMar>
            <w:vAlign w:val="center"/>
          </w:tcPr>
          <w:p w14:paraId="22081B6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园区</w:t>
            </w:r>
            <w:r>
              <w:rPr>
                <w:rFonts w:hint="eastAsia" w:ascii="宋体" w:hAnsi="宋体" w:eastAsia="宋体" w:cs="宋体"/>
                <w:color w:val="auto"/>
                <w:sz w:val="24"/>
                <w:szCs w:val="24"/>
                <w:lang w:val="en-US" w:eastAsia="zh-CN"/>
              </w:rPr>
              <w:t>景观</w:t>
            </w:r>
            <w:r>
              <w:rPr>
                <w:rFonts w:hint="eastAsia" w:ascii="宋体" w:hAnsi="宋体" w:eastAsia="宋体" w:cs="宋体"/>
                <w:color w:val="auto"/>
                <w:sz w:val="24"/>
                <w:szCs w:val="24"/>
              </w:rPr>
              <w:t>提升改造</w:t>
            </w:r>
            <w:r>
              <w:rPr>
                <w:rFonts w:hint="eastAsia" w:ascii="宋体" w:hAnsi="宋体" w:eastAsia="宋体" w:cs="宋体"/>
                <w:color w:val="auto"/>
                <w:sz w:val="24"/>
                <w:szCs w:val="24"/>
                <w:lang w:val="en-US" w:eastAsia="zh-CN"/>
              </w:rPr>
              <w:t>及临时摆花任务等</w:t>
            </w:r>
          </w:p>
        </w:tc>
        <w:tc>
          <w:tcPr>
            <w:tcW w:w="1378" w:type="pct"/>
            <w:shd w:val="clear" w:color="auto" w:fill="auto"/>
            <w:tcMar>
              <w:top w:w="0" w:type="dxa"/>
              <w:left w:w="50" w:type="dxa"/>
              <w:bottom w:w="0" w:type="dxa"/>
              <w:right w:w="50" w:type="dxa"/>
            </w:tcMar>
            <w:vAlign w:val="center"/>
          </w:tcPr>
          <w:p w14:paraId="2390644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9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按采购人的方案要求进行</w:t>
            </w:r>
            <w:r>
              <w:rPr>
                <w:rFonts w:hint="eastAsia" w:ascii="宋体" w:hAnsi="宋体" w:eastAsia="宋体" w:cs="宋体"/>
                <w:color w:val="auto"/>
                <w:sz w:val="24"/>
                <w:szCs w:val="24"/>
                <w:lang w:val="en-US" w:eastAsia="zh-CN"/>
              </w:rPr>
              <w:t>园区</w:t>
            </w:r>
            <w:r>
              <w:rPr>
                <w:rFonts w:hint="eastAsia" w:ascii="宋体" w:hAnsi="宋体" w:cs="宋体"/>
                <w:color w:val="auto"/>
                <w:sz w:val="24"/>
                <w:szCs w:val="24"/>
                <w:shd w:val="clear" w:color="auto" w:fill="auto"/>
                <w:lang w:val="en-US" w:eastAsia="zh-CN"/>
              </w:rPr>
              <w:t>小范围</w:t>
            </w:r>
            <w:r>
              <w:rPr>
                <w:rFonts w:hint="eastAsia" w:ascii="宋体" w:hAnsi="宋体" w:eastAsia="宋体" w:cs="宋体"/>
                <w:color w:val="auto"/>
                <w:sz w:val="24"/>
                <w:szCs w:val="24"/>
                <w:lang w:val="en-US" w:eastAsia="zh-CN"/>
              </w:rPr>
              <w:t>景观改造及临时摆花任务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费用由中标人上报</w:t>
            </w:r>
            <w:r>
              <w:rPr>
                <w:rFonts w:hint="eastAsia" w:ascii="宋体" w:hAnsi="宋体" w:eastAsia="宋体" w:cs="宋体"/>
                <w:color w:val="auto"/>
                <w:sz w:val="24"/>
                <w:szCs w:val="24"/>
                <w:lang w:val="en-US" w:eastAsia="zh-CN"/>
              </w:rPr>
              <w:t>结算书</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抽取</w:t>
            </w:r>
            <w:r>
              <w:rPr>
                <w:rFonts w:hint="eastAsia" w:ascii="宋体" w:hAnsi="宋体" w:eastAsia="宋体" w:cs="宋体"/>
                <w:color w:val="auto"/>
                <w:sz w:val="24"/>
                <w:szCs w:val="24"/>
              </w:rPr>
              <w:t>第三方造价咨询单位进行审核，以审核后金额为准支付</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该</w:t>
            </w:r>
            <w:r>
              <w:rPr>
                <w:rFonts w:hint="eastAsia" w:ascii="宋体" w:hAnsi="宋体" w:eastAsia="宋体" w:cs="宋体"/>
                <w:color w:val="auto"/>
                <w:sz w:val="24"/>
                <w:szCs w:val="24"/>
              </w:rPr>
              <w:t>费用不包含在本次项目费用中)。</w:t>
            </w:r>
          </w:p>
        </w:tc>
      </w:tr>
      <w:tr w14:paraId="2CFF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15" w:type="dxa"/>
        </w:trPr>
        <w:tc>
          <w:tcPr>
            <w:tcW w:w="249" w:type="pct"/>
            <w:vMerge w:val="continue"/>
            <w:shd w:val="clear" w:color="auto" w:fill="auto"/>
            <w:tcMar>
              <w:top w:w="0" w:type="dxa"/>
              <w:left w:w="50" w:type="dxa"/>
              <w:bottom w:w="0" w:type="dxa"/>
              <w:right w:w="50" w:type="dxa"/>
            </w:tcMar>
            <w:vAlign w:val="center"/>
          </w:tcPr>
          <w:p w14:paraId="2105FEB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5307298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1522" w:type="pct"/>
            <w:vMerge w:val="continue"/>
            <w:shd w:val="clear" w:color="auto" w:fill="auto"/>
            <w:tcMar>
              <w:top w:w="0" w:type="dxa"/>
              <w:left w:w="50" w:type="dxa"/>
              <w:bottom w:w="0" w:type="dxa"/>
              <w:right w:w="50" w:type="dxa"/>
            </w:tcMar>
            <w:vAlign w:val="center"/>
          </w:tcPr>
          <w:p w14:paraId="1D79E1D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1442" w:type="pct"/>
            <w:shd w:val="clear" w:color="auto" w:fill="auto"/>
            <w:tcMar>
              <w:top w:w="0" w:type="dxa"/>
              <w:left w:w="50" w:type="dxa"/>
              <w:bottom w:w="0" w:type="dxa"/>
              <w:right w:w="50" w:type="dxa"/>
            </w:tcMar>
            <w:vAlign w:val="center"/>
          </w:tcPr>
          <w:p w14:paraId="4928704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季度补植</w:t>
            </w:r>
          </w:p>
        </w:tc>
        <w:tc>
          <w:tcPr>
            <w:tcW w:w="1378" w:type="pct"/>
            <w:shd w:val="clear" w:color="auto" w:fill="auto"/>
            <w:tcMar>
              <w:top w:w="0" w:type="dxa"/>
              <w:left w:w="50" w:type="dxa"/>
              <w:bottom w:w="0" w:type="dxa"/>
              <w:right w:w="50" w:type="dxa"/>
            </w:tcMar>
            <w:vAlign w:val="center"/>
          </w:tcPr>
          <w:p w14:paraId="1CF7FB2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w:t>
            </w:r>
            <w:r>
              <w:rPr>
                <w:rFonts w:hint="eastAsia" w:ascii="宋体" w:hAnsi="宋体" w:cs="宋体"/>
                <w:color w:val="auto"/>
                <w:sz w:val="24"/>
                <w:szCs w:val="24"/>
                <w:shd w:val="clear" w:color="auto" w:fill="auto"/>
                <w:lang w:val="en-US" w:eastAsia="zh-CN"/>
              </w:rPr>
              <w:t>中标</w:t>
            </w:r>
            <w:r>
              <w:rPr>
                <w:rFonts w:hint="eastAsia" w:ascii="宋体" w:hAnsi="宋体" w:eastAsia="宋体" w:cs="宋体"/>
                <w:color w:val="auto"/>
                <w:sz w:val="24"/>
                <w:szCs w:val="24"/>
                <w:lang w:val="en-US" w:eastAsia="zh-CN"/>
              </w:rPr>
              <w:t>人养护原因产生斑秃等需进行绿化补植的，</w:t>
            </w:r>
            <w:r>
              <w:rPr>
                <w:rFonts w:hint="eastAsia" w:ascii="宋体" w:hAnsi="宋体" w:cs="宋体"/>
                <w:color w:val="auto"/>
                <w:sz w:val="24"/>
                <w:szCs w:val="24"/>
                <w:shd w:val="clear" w:color="auto" w:fill="auto"/>
                <w:lang w:val="en-US" w:eastAsia="zh-CN"/>
              </w:rPr>
              <w:t>中标人应及时进行补植，</w:t>
            </w:r>
            <w:r>
              <w:rPr>
                <w:rFonts w:hint="eastAsia" w:ascii="宋体" w:hAnsi="宋体" w:eastAsia="宋体" w:cs="宋体"/>
                <w:color w:val="auto"/>
                <w:sz w:val="24"/>
                <w:szCs w:val="24"/>
                <w:lang w:val="en-US" w:eastAsia="zh-CN"/>
              </w:rPr>
              <w:t>按季度进行结算，送第三方审核后按实结算。以抽取方式确定结算审核单位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该</w:t>
            </w:r>
            <w:r>
              <w:rPr>
                <w:rFonts w:hint="eastAsia" w:ascii="宋体" w:hAnsi="宋体" w:eastAsia="宋体" w:cs="宋体"/>
                <w:color w:val="auto"/>
                <w:sz w:val="24"/>
                <w:szCs w:val="24"/>
              </w:rPr>
              <w:t>费用不包含在本次项目费用中</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由采购人另行结算</w:t>
            </w:r>
            <w:r>
              <w:rPr>
                <w:rFonts w:hint="eastAsia" w:ascii="宋体" w:hAnsi="宋体" w:eastAsia="宋体" w:cs="宋体"/>
                <w:color w:val="auto"/>
                <w:sz w:val="24"/>
                <w:szCs w:val="24"/>
              </w:rPr>
              <w:t>)。</w:t>
            </w:r>
          </w:p>
        </w:tc>
      </w:tr>
      <w:tr w14:paraId="2F29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 w:hRule="atLeast"/>
          <w:tblCellSpacing w:w="15" w:type="dxa"/>
        </w:trPr>
        <w:tc>
          <w:tcPr>
            <w:tcW w:w="249" w:type="pct"/>
            <w:vMerge w:val="continue"/>
            <w:shd w:val="clear" w:color="auto" w:fill="auto"/>
            <w:tcMar>
              <w:top w:w="0" w:type="dxa"/>
              <w:left w:w="50" w:type="dxa"/>
              <w:bottom w:w="0" w:type="dxa"/>
              <w:right w:w="50" w:type="dxa"/>
            </w:tcMar>
            <w:vAlign w:val="center"/>
          </w:tcPr>
          <w:p w14:paraId="7543DD8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094E1AB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1522" w:type="pct"/>
            <w:vMerge w:val="continue"/>
            <w:shd w:val="clear" w:color="auto" w:fill="auto"/>
            <w:tcMar>
              <w:top w:w="0" w:type="dxa"/>
              <w:left w:w="50" w:type="dxa"/>
              <w:bottom w:w="0" w:type="dxa"/>
              <w:right w:w="50" w:type="dxa"/>
            </w:tcMar>
            <w:vAlign w:val="center"/>
          </w:tcPr>
          <w:p w14:paraId="5166313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1442" w:type="pct"/>
            <w:shd w:val="clear" w:color="auto" w:fill="auto"/>
            <w:tcMar>
              <w:top w:w="0" w:type="dxa"/>
              <w:left w:w="50" w:type="dxa"/>
              <w:bottom w:w="0" w:type="dxa"/>
              <w:right w:w="50" w:type="dxa"/>
            </w:tcMar>
            <w:vAlign w:val="center"/>
          </w:tcPr>
          <w:p w14:paraId="1210062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风车长廊更换</w:t>
            </w:r>
          </w:p>
        </w:tc>
        <w:tc>
          <w:tcPr>
            <w:tcW w:w="1378" w:type="pct"/>
            <w:shd w:val="clear" w:color="auto" w:fill="auto"/>
            <w:tcMar>
              <w:top w:w="0" w:type="dxa"/>
              <w:left w:w="50" w:type="dxa"/>
              <w:bottom w:w="0" w:type="dxa"/>
              <w:right w:w="50" w:type="dxa"/>
            </w:tcMar>
            <w:vAlign w:val="center"/>
          </w:tcPr>
          <w:p w14:paraId="130855D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每年4月、9月各换一次，涉及费用已包含在本次项目费用中</w:t>
            </w:r>
          </w:p>
        </w:tc>
      </w:tr>
      <w:tr w14:paraId="504F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 w:hRule="atLeast"/>
          <w:tblCellSpacing w:w="15" w:type="dxa"/>
        </w:trPr>
        <w:tc>
          <w:tcPr>
            <w:tcW w:w="249" w:type="pct"/>
            <w:vMerge w:val="continue"/>
            <w:shd w:val="clear" w:color="auto" w:fill="auto"/>
            <w:tcMar>
              <w:top w:w="0" w:type="dxa"/>
              <w:left w:w="50" w:type="dxa"/>
              <w:bottom w:w="0" w:type="dxa"/>
              <w:right w:w="50" w:type="dxa"/>
            </w:tcMar>
            <w:vAlign w:val="center"/>
          </w:tcPr>
          <w:p w14:paraId="1628A97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3190A61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1522" w:type="pct"/>
            <w:vMerge w:val="continue"/>
            <w:shd w:val="clear" w:color="auto" w:fill="auto"/>
            <w:tcMar>
              <w:top w:w="0" w:type="dxa"/>
              <w:left w:w="50" w:type="dxa"/>
              <w:bottom w:w="0" w:type="dxa"/>
              <w:right w:w="50" w:type="dxa"/>
            </w:tcMar>
            <w:vAlign w:val="center"/>
          </w:tcPr>
          <w:p w14:paraId="5C5F2E9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p>
        </w:tc>
        <w:tc>
          <w:tcPr>
            <w:tcW w:w="1442" w:type="pct"/>
            <w:shd w:val="clear" w:color="auto" w:fill="auto"/>
            <w:tcMar>
              <w:top w:w="0" w:type="dxa"/>
              <w:left w:w="50" w:type="dxa"/>
              <w:bottom w:w="0" w:type="dxa"/>
              <w:right w:w="50" w:type="dxa"/>
            </w:tcMar>
            <w:vAlign w:val="center"/>
          </w:tcPr>
          <w:p w14:paraId="2CEFA34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竹篱笆安装、更换</w:t>
            </w:r>
          </w:p>
        </w:tc>
        <w:tc>
          <w:tcPr>
            <w:tcW w:w="1378" w:type="pct"/>
            <w:shd w:val="clear" w:color="auto" w:fill="auto"/>
            <w:tcMar>
              <w:top w:w="0" w:type="dxa"/>
              <w:left w:w="50" w:type="dxa"/>
              <w:bottom w:w="0" w:type="dxa"/>
              <w:right w:w="50" w:type="dxa"/>
            </w:tcMar>
            <w:vAlign w:val="center"/>
          </w:tcPr>
          <w:p w14:paraId="3CA9E93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竹篱笆长度</w:t>
            </w:r>
            <w:r>
              <w:rPr>
                <w:rFonts w:hint="eastAsia" w:ascii="宋体" w:hAnsi="宋体" w:cs="宋体"/>
                <w:color w:val="auto"/>
                <w:sz w:val="24"/>
                <w:szCs w:val="24"/>
                <w:lang w:val="en-US" w:eastAsia="zh-CN"/>
              </w:rPr>
              <w:t>约3000</w:t>
            </w:r>
            <w:r>
              <w:rPr>
                <w:rFonts w:hint="eastAsia" w:ascii="宋体" w:hAnsi="宋体" w:eastAsia="宋体" w:cs="宋体"/>
                <w:color w:val="auto"/>
                <w:sz w:val="24"/>
                <w:szCs w:val="24"/>
                <w:lang w:val="en-US" w:eastAsia="zh-CN"/>
              </w:rPr>
              <w:t>米，中标人进场前需全园更换一次，随坏随修，涉及费用已包含在本次项目费用中。</w:t>
            </w:r>
          </w:p>
        </w:tc>
      </w:tr>
      <w:tr w14:paraId="1A79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CellSpacing w:w="15" w:type="dxa"/>
        </w:trPr>
        <w:tc>
          <w:tcPr>
            <w:tcW w:w="249" w:type="pct"/>
            <w:vMerge w:val="continue"/>
            <w:shd w:val="clear" w:color="auto" w:fill="auto"/>
            <w:tcMar>
              <w:top w:w="0" w:type="dxa"/>
              <w:left w:w="50" w:type="dxa"/>
              <w:bottom w:w="0" w:type="dxa"/>
              <w:right w:w="50" w:type="dxa"/>
            </w:tcMar>
            <w:vAlign w:val="center"/>
          </w:tcPr>
          <w:p w14:paraId="6195BE1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p>
        </w:tc>
        <w:tc>
          <w:tcPr>
            <w:tcW w:w="312" w:type="pct"/>
            <w:vMerge w:val="continue"/>
            <w:shd w:val="clear" w:color="auto" w:fill="auto"/>
            <w:tcMar>
              <w:top w:w="0" w:type="dxa"/>
              <w:left w:w="50" w:type="dxa"/>
              <w:bottom w:w="0" w:type="dxa"/>
              <w:right w:w="50" w:type="dxa"/>
            </w:tcMar>
            <w:vAlign w:val="center"/>
          </w:tcPr>
          <w:p w14:paraId="2B7358E4">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p>
        </w:tc>
        <w:tc>
          <w:tcPr>
            <w:tcW w:w="1522" w:type="pct"/>
            <w:vMerge w:val="continue"/>
            <w:shd w:val="clear" w:color="auto" w:fill="auto"/>
            <w:tcMar>
              <w:top w:w="0" w:type="dxa"/>
              <w:left w:w="50" w:type="dxa"/>
              <w:bottom w:w="0" w:type="dxa"/>
              <w:right w:w="50" w:type="dxa"/>
            </w:tcMar>
            <w:vAlign w:val="center"/>
          </w:tcPr>
          <w:p w14:paraId="5C766F7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p>
        </w:tc>
        <w:tc>
          <w:tcPr>
            <w:tcW w:w="1442" w:type="pct"/>
            <w:shd w:val="clear" w:color="auto" w:fill="auto"/>
            <w:tcMar>
              <w:top w:w="0" w:type="dxa"/>
              <w:left w:w="50" w:type="dxa"/>
              <w:bottom w:w="0" w:type="dxa"/>
              <w:right w:w="50" w:type="dxa"/>
            </w:tcMar>
            <w:vAlign w:val="center"/>
          </w:tcPr>
          <w:p w14:paraId="0079B4C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花田品种介绍牌及指引牌的制作和更换</w:t>
            </w:r>
          </w:p>
        </w:tc>
        <w:tc>
          <w:tcPr>
            <w:tcW w:w="1378" w:type="pct"/>
            <w:shd w:val="clear" w:color="auto" w:fill="auto"/>
            <w:tcMar>
              <w:top w:w="0" w:type="dxa"/>
              <w:left w:w="50" w:type="dxa"/>
              <w:bottom w:w="0" w:type="dxa"/>
              <w:right w:w="50" w:type="dxa"/>
            </w:tcMar>
            <w:vAlign w:val="center"/>
          </w:tcPr>
          <w:p w14:paraId="673FB7E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涉及费用已包含在本次项目费用中。</w:t>
            </w:r>
          </w:p>
        </w:tc>
      </w:tr>
      <w:tr w14:paraId="74FA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477B7125">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14DF634A">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vMerge w:val="continue"/>
            <w:shd w:val="clear" w:color="auto" w:fill="auto"/>
            <w:tcMar>
              <w:top w:w="0" w:type="dxa"/>
              <w:left w:w="50" w:type="dxa"/>
              <w:bottom w:w="0" w:type="dxa"/>
              <w:right w:w="50" w:type="dxa"/>
            </w:tcMar>
            <w:vAlign w:val="center"/>
          </w:tcPr>
          <w:p w14:paraId="29993200">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442" w:type="pct"/>
            <w:shd w:val="clear" w:color="auto" w:fill="auto"/>
            <w:tcMar>
              <w:top w:w="0" w:type="dxa"/>
              <w:left w:w="50" w:type="dxa"/>
              <w:bottom w:w="0" w:type="dxa"/>
              <w:right w:w="50" w:type="dxa"/>
            </w:tcMar>
            <w:vAlign w:val="center"/>
          </w:tcPr>
          <w:p w14:paraId="5487E11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科研项目开展</w:t>
            </w:r>
          </w:p>
        </w:tc>
        <w:tc>
          <w:tcPr>
            <w:tcW w:w="1378" w:type="pct"/>
            <w:shd w:val="clear" w:color="auto" w:fill="auto"/>
            <w:tcMar>
              <w:top w:w="0" w:type="dxa"/>
              <w:left w:w="50" w:type="dxa"/>
              <w:bottom w:w="0" w:type="dxa"/>
              <w:right w:w="50" w:type="dxa"/>
            </w:tcMar>
            <w:vAlign w:val="center"/>
          </w:tcPr>
          <w:p w14:paraId="268CAD1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9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中标人</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rPr>
              <w:t>依据采购人需求配合进行精细化绿化养护实施、草花播种方案提升、特殊苗木品种驯化、植物物候观察预测等专项任务的科学数据搜集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汇总、处理</w:t>
            </w:r>
            <w:r>
              <w:rPr>
                <w:rFonts w:hint="eastAsia" w:ascii="宋体" w:hAnsi="宋体" w:eastAsia="宋体" w:cs="宋体"/>
                <w:color w:val="auto"/>
                <w:sz w:val="24"/>
                <w:szCs w:val="24"/>
              </w:rPr>
              <w:t>工作</w:t>
            </w:r>
            <w:r>
              <w:rPr>
                <w:rFonts w:hint="eastAsia" w:ascii="宋体" w:hAnsi="宋体" w:eastAsia="宋体" w:cs="宋体"/>
                <w:color w:val="auto"/>
                <w:sz w:val="24"/>
                <w:szCs w:val="24"/>
                <w:lang w:eastAsia="zh-CN"/>
              </w:rPr>
              <w:t>。</w:t>
            </w:r>
          </w:p>
        </w:tc>
      </w:tr>
      <w:tr w14:paraId="1E95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9" w:type="pct"/>
            <w:vMerge w:val="continue"/>
            <w:shd w:val="clear" w:color="auto" w:fill="auto"/>
            <w:tcMar>
              <w:top w:w="0" w:type="dxa"/>
              <w:left w:w="50" w:type="dxa"/>
              <w:bottom w:w="0" w:type="dxa"/>
              <w:right w:w="50" w:type="dxa"/>
            </w:tcMar>
            <w:vAlign w:val="center"/>
          </w:tcPr>
          <w:p w14:paraId="0DFA16E5">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312" w:type="pct"/>
            <w:vMerge w:val="continue"/>
            <w:shd w:val="clear" w:color="auto" w:fill="auto"/>
            <w:tcMar>
              <w:top w:w="0" w:type="dxa"/>
              <w:left w:w="50" w:type="dxa"/>
              <w:bottom w:w="0" w:type="dxa"/>
              <w:right w:w="50" w:type="dxa"/>
            </w:tcMar>
            <w:vAlign w:val="center"/>
          </w:tcPr>
          <w:p w14:paraId="49C2C353">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522" w:type="pct"/>
            <w:vMerge w:val="continue"/>
            <w:shd w:val="clear" w:color="auto" w:fill="auto"/>
            <w:tcMar>
              <w:top w:w="0" w:type="dxa"/>
              <w:left w:w="50" w:type="dxa"/>
              <w:bottom w:w="0" w:type="dxa"/>
              <w:right w:w="50" w:type="dxa"/>
            </w:tcMar>
            <w:vAlign w:val="center"/>
          </w:tcPr>
          <w:p w14:paraId="16D93F2F">
            <w:pPr>
              <w:keepNext w:val="0"/>
              <w:keepLines w:val="0"/>
              <w:pageBreakBefore w:val="0"/>
              <w:kinsoku/>
              <w:overflowPunct/>
              <w:topLinePunct w:val="0"/>
              <w:autoSpaceDE/>
              <w:autoSpaceDN/>
              <w:bidi w:val="0"/>
              <w:spacing w:beforeAutospacing="0" w:afterAutospacing="0" w:line="360" w:lineRule="atLeast"/>
              <w:textAlignment w:val="auto"/>
              <w:rPr>
                <w:rFonts w:hint="eastAsia" w:ascii="宋体" w:hAnsi="宋体" w:eastAsia="宋体" w:cs="宋体"/>
                <w:color w:val="auto"/>
                <w:sz w:val="24"/>
                <w:szCs w:val="24"/>
              </w:rPr>
            </w:pPr>
          </w:p>
        </w:tc>
        <w:tc>
          <w:tcPr>
            <w:tcW w:w="1442" w:type="pct"/>
            <w:shd w:val="clear" w:color="auto" w:fill="auto"/>
            <w:tcMar>
              <w:top w:w="0" w:type="dxa"/>
              <w:left w:w="50" w:type="dxa"/>
              <w:bottom w:w="0" w:type="dxa"/>
              <w:right w:w="50" w:type="dxa"/>
            </w:tcMar>
            <w:vAlign w:val="center"/>
          </w:tcPr>
          <w:p w14:paraId="4275106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文明（文明典范）城市</w:t>
            </w:r>
          </w:p>
          <w:p w14:paraId="1E6A8FE6">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创建</w:t>
            </w:r>
          </w:p>
        </w:tc>
        <w:tc>
          <w:tcPr>
            <w:tcW w:w="1378" w:type="pct"/>
            <w:shd w:val="clear" w:color="auto" w:fill="auto"/>
            <w:tcMar>
              <w:top w:w="0" w:type="dxa"/>
              <w:left w:w="50" w:type="dxa"/>
              <w:bottom w:w="0" w:type="dxa"/>
              <w:right w:w="50" w:type="dxa"/>
            </w:tcMar>
            <w:vAlign w:val="center"/>
          </w:tcPr>
          <w:p w14:paraId="156E9F79">
            <w:pPr>
              <w:pStyle w:val="12"/>
              <w:keepNext w:val="0"/>
              <w:keepLines w:val="0"/>
              <w:pageBreakBefore w:val="0"/>
              <w:widowControl/>
              <w:suppressLineNumbers w:val="0"/>
              <w:kinsoku/>
              <w:wordWrap w:val="0"/>
              <w:overflowPunct/>
              <w:topLinePunct w:val="0"/>
              <w:autoSpaceDE/>
              <w:autoSpaceDN/>
              <w:bidi w:val="0"/>
              <w:spacing w:beforeAutospacing="0" w:afterAutospacing="0" w:line="360" w:lineRule="atLeast"/>
              <w:ind w:left="0" w:firstLine="9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花海公园作为城市窗口，文明（文明典范）城市创建是本项目重要工作内容，中标人应依据园林主管部门、文明（创建）办等相关行政管理部门和</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人要求无条件配合做好文明（文明典范）城市创建相关工作。</w:t>
            </w:r>
          </w:p>
        </w:tc>
      </w:tr>
    </w:tbl>
    <w:p w14:paraId="674FFCB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3、绿化补植相关规定：</w:t>
      </w:r>
    </w:p>
    <w:p w14:paraId="2E7C0929">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（1）在中标人养护管理期间，发生绿化植株死亡的情况，由采购人及中标人共同进行现场查勘，确定原因。</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w:t>
      </w:r>
      <w:r>
        <w:rPr>
          <w:rFonts w:hint="eastAsia" w:ascii="宋体" w:hAnsi="宋体" w:cs="宋体"/>
          <w:color w:val="auto"/>
          <w:sz w:val="24"/>
          <w:szCs w:val="24"/>
          <w:lang w:eastAsia="zh-CN"/>
        </w:rPr>
        <w:t>）</w:t>
      </w:r>
    </w:p>
    <w:p w14:paraId="5EE2770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）不属于中标人养护管理不到位的情况，由采购人安排进行补植，费用由采购人负责。</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w:t>
      </w:r>
      <w:r>
        <w:rPr>
          <w:rFonts w:hint="eastAsia" w:ascii="宋体" w:hAnsi="宋体" w:cs="宋体"/>
          <w:color w:val="auto"/>
          <w:sz w:val="24"/>
          <w:szCs w:val="24"/>
          <w:lang w:eastAsia="zh-CN"/>
        </w:rPr>
        <w:t>）</w:t>
      </w:r>
    </w:p>
    <w:p w14:paraId="4C5FED0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）属于中标人养护不到位的，由中标人采购相应规格苗木进行补植，费用由中标人负责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如规定时间内中标人不进行补植，采购人有权视情况处以500-2000元的罚金，</w:t>
      </w:r>
      <w:r>
        <w:rPr>
          <w:rFonts w:hint="eastAsia" w:ascii="宋体" w:hAnsi="宋体" w:eastAsia="宋体" w:cs="宋体"/>
          <w:color w:val="auto"/>
          <w:sz w:val="24"/>
          <w:szCs w:val="24"/>
          <w:lang w:val="en-US" w:eastAsia="zh-CN"/>
        </w:rPr>
        <w:t>由采购人另行</w:t>
      </w:r>
      <w:r>
        <w:rPr>
          <w:rFonts w:hint="eastAsia" w:ascii="宋体" w:hAnsi="宋体" w:eastAsia="宋体" w:cs="宋体"/>
          <w:color w:val="auto"/>
          <w:sz w:val="24"/>
          <w:szCs w:val="24"/>
        </w:rPr>
        <w:t>安排采购补植，所产生的费用</w:t>
      </w:r>
      <w:r>
        <w:rPr>
          <w:rFonts w:hint="eastAsia" w:ascii="宋体" w:hAnsi="宋体" w:eastAsia="宋体" w:cs="宋体"/>
          <w:color w:val="auto"/>
          <w:sz w:val="24"/>
          <w:szCs w:val="24"/>
          <w:lang w:val="en-US" w:eastAsia="zh-CN"/>
        </w:rPr>
        <w:t>从</w:t>
      </w:r>
      <w:r>
        <w:rPr>
          <w:rFonts w:hint="eastAsia" w:ascii="宋体" w:hAnsi="宋体" w:eastAsia="宋体" w:cs="宋体"/>
          <w:color w:val="auto"/>
          <w:sz w:val="24"/>
          <w:szCs w:val="24"/>
        </w:rPr>
        <w:t>当月养护服务费用中扣除，不足部分</w:t>
      </w:r>
      <w:r>
        <w:rPr>
          <w:rFonts w:hint="eastAsia" w:ascii="宋体" w:hAnsi="宋体" w:eastAsia="宋体" w:cs="宋体"/>
          <w:color w:val="auto"/>
          <w:sz w:val="24"/>
          <w:szCs w:val="24"/>
          <w:lang w:val="en-US" w:eastAsia="zh-CN"/>
        </w:rPr>
        <w:t>从</w:t>
      </w:r>
      <w:r>
        <w:rPr>
          <w:rFonts w:hint="eastAsia" w:ascii="宋体" w:hAnsi="宋体" w:eastAsia="宋体" w:cs="宋体"/>
          <w:color w:val="auto"/>
          <w:sz w:val="24"/>
          <w:szCs w:val="24"/>
        </w:rPr>
        <w:t>履约保证金中支出，</w:t>
      </w:r>
      <w:r>
        <w:rPr>
          <w:rFonts w:hint="eastAsia" w:ascii="宋体" w:hAnsi="宋体" w:cs="宋体"/>
          <w:color w:val="auto"/>
          <w:sz w:val="24"/>
          <w:szCs w:val="24"/>
          <w:shd w:val="clear" w:color="auto" w:fill="auto"/>
          <w:lang w:val="en-US" w:eastAsia="zh-CN"/>
        </w:rPr>
        <w:t>采购人</w:t>
      </w:r>
      <w:r>
        <w:rPr>
          <w:rFonts w:hint="eastAsia" w:ascii="宋体" w:hAnsi="宋体" w:eastAsia="宋体" w:cs="宋体"/>
          <w:color w:val="auto"/>
          <w:sz w:val="24"/>
          <w:szCs w:val="24"/>
        </w:rPr>
        <w:t>可继续向中标人追偿。</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评审项3</w:t>
      </w:r>
      <w:r>
        <w:rPr>
          <w:rFonts w:hint="eastAsia" w:ascii="宋体" w:hAnsi="宋体" w:cs="宋体"/>
          <w:color w:val="auto"/>
          <w:sz w:val="24"/>
          <w:szCs w:val="24"/>
          <w:lang w:eastAsia="zh-CN"/>
        </w:rPr>
        <w:t>）</w:t>
      </w:r>
    </w:p>
    <w:p w14:paraId="6D153B5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）如中标人养护不到位，造成绿化苗木大量死亡的（死亡率超过5%的），采购人有权解除养护服务合同，并扣除履约保证金。如系重大责任事故，采购人有权根据合同向中标人经济索赔并追究法律责任。</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评审项4</w:t>
      </w:r>
      <w:r>
        <w:rPr>
          <w:rFonts w:hint="eastAsia" w:ascii="宋体" w:hAnsi="宋体" w:cs="宋体"/>
          <w:color w:val="auto"/>
          <w:sz w:val="24"/>
          <w:szCs w:val="24"/>
          <w:lang w:eastAsia="zh-CN"/>
        </w:rPr>
        <w:t>）</w:t>
      </w:r>
    </w:p>
    <w:p w14:paraId="0222014F">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left"/>
        <w:textAlignment w:val="auto"/>
        <w:rPr>
          <w:rStyle w:val="18"/>
          <w:rFonts w:hint="eastAsia" w:ascii="宋体" w:hAnsi="宋体" w:eastAsia="宋体" w:cs="宋体"/>
          <w:color w:val="auto"/>
          <w:sz w:val="24"/>
          <w:szCs w:val="24"/>
        </w:rPr>
      </w:pPr>
      <w:r>
        <w:rPr>
          <w:rStyle w:val="18"/>
          <w:rFonts w:hint="eastAsia" w:ascii="宋体" w:hAnsi="宋体" w:eastAsia="宋体" w:cs="宋体"/>
          <w:color w:val="auto"/>
          <w:sz w:val="24"/>
          <w:szCs w:val="24"/>
        </w:rPr>
        <w:t>（三）中标人职责</w:t>
      </w:r>
    </w:p>
    <w:p w14:paraId="096B132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中标人应遵守公园管理规定，服从采购人管理。养护期限内，中标人应按照绿化养护操作规程及绿化养护质量标准，合理组织，精心养护，保质保量完成养护管理任务。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评审项5</w:t>
      </w:r>
      <w:r>
        <w:rPr>
          <w:rFonts w:hint="eastAsia" w:ascii="宋体" w:hAnsi="宋体" w:cs="宋体"/>
          <w:color w:val="auto"/>
          <w:sz w:val="24"/>
          <w:szCs w:val="24"/>
          <w:lang w:eastAsia="zh-CN"/>
        </w:rPr>
        <w:t>）</w:t>
      </w:r>
    </w:p>
    <w:p w14:paraId="64132E95">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rPr>
      </w:pPr>
      <w:r>
        <w:rPr>
          <w:rStyle w:val="18"/>
          <w:rFonts w:hint="eastAsia" w:ascii="宋体" w:hAnsi="宋体" w:cs="宋体"/>
          <w:color w:val="auto"/>
          <w:sz w:val="24"/>
          <w:szCs w:val="24"/>
          <w:lang w:val="en-US" w:eastAsia="zh-CN"/>
        </w:rPr>
        <w:t>1、</w:t>
      </w:r>
      <w:r>
        <w:rPr>
          <w:rStyle w:val="18"/>
          <w:rFonts w:hint="eastAsia" w:ascii="宋体" w:hAnsi="宋体" w:eastAsia="宋体" w:cs="宋体"/>
          <w:color w:val="auto"/>
          <w:sz w:val="24"/>
          <w:szCs w:val="24"/>
        </w:rPr>
        <w:t>承包管理：</w:t>
      </w:r>
      <w:r>
        <w:rPr>
          <w:rFonts w:hint="eastAsia" w:ascii="宋体" w:hAnsi="宋体" w:eastAsia="宋体" w:cs="宋体"/>
          <w:color w:val="auto"/>
          <w:sz w:val="24"/>
          <w:szCs w:val="24"/>
        </w:rPr>
        <w:t>中标人以包工、包料、包质量、包安全、包清洁的方式实施承包作业。所需物料、设备、车辆、运费等，均由中标人自行解决。</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评审项6</w:t>
      </w:r>
      <w:r>
        <w:rPr>
          <w:rFonts w:hint="eastAsia" w:ascii="宋体" w:hAnsi="宋体" w:cs="宋体"/>
          <w:color w:val="auto"/>
          <w:sz w:val="24"/>
          <w:szCs w:val="24"/>
          <w:lang w:eastAsia="zh-CN"/>
        </w:rPr>
        <w:t>）</w:t>
      </w:r>
    </w:p>
    <w:p w14:paraId="168B2CC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u w:val="single"/>
          <w:shd w:val="clear" w:color="auto" w:fill="FFFFFF"/>
        </w:rPr>
      </w:pPr>
      <w:r>
        <w:rPr>
          <w:rStyle w:val="18"/>
          <w:rFonts w:hint="eastAsia" w:ascii="宋体" w:hAnsi="宋体" w:eastAsia="宋体" w:cs="宋体"/>
          <w:color w:val="auto"/>
          <w:sz w:val="24"/>
          <w:szCs w:val="24"/>
        </w:rPr>
        <w:t>2、制定计划：</w:t>
      </w:r>
      <w:r>
        <w:rPr>
          <w:rFonts w:hint="eastAsia" w:ascii="宋体" w:hAnsi="宋体" w:eastAsia="宋体" w:cs="宋体"/>
          <w:color w:val="auto"/>
          <w:sz w:val="24"/>
          <w:szCs w:val="24"/>
        </w:rPr>
        <w:t>中标人进场</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半个月</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应向采购人提交全年的养护计划</w:t>
      </w:r>
      <w:r>
        <w:rPr>
          <w:rFonts w:hint="eastAsia" w:ascii="宋体" w:hAnsi="宋体" w:eastAsia="宋体" w:cs="宋体"/>
          <w:color w:val="auto"/>
          <w:sz w:val="24"/>
          <w:szCs w:val="24"/>
          <w:lang w:val="en-US" w:eastAsia="zh-CN"/>
        </w:rPr>
        <w:t>及草花播种计划</w:t>
      </w:r>
      <w:r>
        <w:rPr>
          <w:rFonts w:hint="eastAsia" w:ascii="宋体" w:hAnsi="宋体" w:eastAsia="宋体" w:cs="宋体"/>
          <w:color w:val="auto"/>
          <w:sz w:val="24"/>
          <w:szCs w:val="24"/>
        </w:rPr>
        <w:t>(包括人员安排、修剪、施肥、植保等)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以及</w:t>
      </w:r>
      <w:r>
        <w:rPr>
          <w:rFonts w:hint="eastAsia" w:ascii="宋体" w:hAnsi="宋体" w:eastAsia="宋体" w:cs="宋体"/>
          <w:color w:val="auto"/>
          <w:sz w:val="24"/>
          <w:szCs w:val="24"/>
        </w:rPr>
        <w:t>节假日、重大检查、台风等期间的应急预</w:t>
      </w:r>
      <w:r>
        <w:rPr>
          <w:rFonts w:hint="eastAsia" w:ascii="宋体" w:hAnsi="宋体" w:eastAsia="宋体" w:cs="宋体"/>
          <w:color w:val="auto"/>
          <w:sz w:val="24"/>
          <w:szCs w:val="24"/>
          <w:u w:val="none"/>
        </w:rPr>
        <w:t>案。</w:t>
      </w:r>
      <w:r>
        <w:rPr>
          <w:rFonts w:hint="eastAsia" w:ascii="宋体" w:hAnsi="宋体" w:eastAsia="宋体" w:cs="宋体"/>
          <w:color w:val="auto"/>
          <w:sz w:val="24"/>
          <w:szCs w:val="24"/>
          <w:u w:val="none"/>
          <w:shd w:val="clear" w:color="auto" w:fill="FFFFFF"/>
        </w:rPr>
        <w:t>每月底应向采购人汇报下个月养护管理计划及有关措施。每月5日前应向采购人提交上一个月养护内业资料。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评审项7</w:t>
      </w:r>
      <w:r>
        <w:rPr>
          <w:rFonts w:hint="eastAsia" w:ascii="宋体" w:hAnsi="宋体" w:cs="宋体"/>
          <w:color w:val="auto"/>
          <w:sz w:val="24"/>
          <w:szCs w:val="24"/>
          <w:lang w:eastAsia="zh-CN"/>
        </w:rPr>
        <w:t>）</w:t>
      </w:r>
    </w:p>
    <w:p w14:paraId="57C94BA8">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u w:val="single"/>
          <w:shd w:val="clear" w:color="auto" w:fill="FFFFFF"/>
        </w:rPr>
      </w:pPr>
      <w:r>
        <w:rPr>
          <w:rStyle w:val="18"/>
          <w:rFonts w:hint="eastAsia" w:ascii="宋体" w:hAnsi="宋体" w:eastAsia="宋体" w:cs="宋体"/>
          <w:color w:val="auto"/>
          <w:sz w:val="24"/>
          <w:szCs w:val="24"/>
        </w:rPr>
        <w:t>3、应急响应：</w:t>
      </w:r>
      <w:r>
        <w:rPr>
          <w:rFonts w:hint="eastAsia" w:ascii="宋体" w:hAnsi="宋体" w:eastAsia="宋体" w:cs="宋体"/>
          <w:color w:val="auto"/>
          <w:sz w:val="24"/>
          <w:szCs w:val="24"/>
        </w:rPr>
        <w:t>如遇紧急突发情况（台风暴雨、人为破坏等），中标人必须在1小时内到现场进行应急处理，</w:t>
      </w:r>
      <w:r>
        <w:rPr>
          <w:rFonts w:hint="eastAsia" w:ascii="宋体" w:hAnsi="宋体" w:eastAsia="宋体" w:cs="宋体"/>
          <w:color w:val="auto"/>
          <w:sz w:val="24"/>
          <w:szCs w:val="24"/>
          <w:lang w:val="en-US" w:eastAsia="zh-CN"/>
        </w:rPr>
        <w:t>在采购</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lang w:val="en-US" w:eastAsia="zh-CN"/>
        </w:rPr>
        <w:t>规定的时间</w:t>
      </w:r>
      <w:r>
        <w:rPr>
          <w:rFonts w:hint="eastAsia" w:ascii="宋体" w:hAnsi="宋体" w:eastAsia="宋体" w:cs="宋体"/>
          <w:color w:val="auto"/>
          <w:sz w:val="24"/>
          <w:szCs w:val="24"/>
        </w:rPr>
        <w:t>内必须恢复原状。未在规定时间内到达现场，罚款500元，24小时内未整改完成的，罚款1000元。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评审项8</w:t>
      </w:r>
      <w:r>
        <w:rPr>
          <w:rFonts w:hint="eastAsia" w:ascii="宋体" w:hAnsi="宋体" w:cs="宋体"/>
          <w:color w:val="auto"/>
          <w:sz w:val="24"/>
          <w:szCs w:val="24"/>
          <w:lang w:eastAsia="zh-CN"/>
        </w:rPr>
        <w:t>）</w:t>
      </w:r>
    </w:p>
    <w:p w14:paraId="416A13C5">
      <w:pPr>
        <w:pStyle w:val="20"/>
        <w:keepNext w:val="0"/>
        <w:keepLines w:val="0"/>
        <w:pageBreakBefore w:val="0"/>
        <w:kinsoku/>
        <w:overflowPunct/>
        <w:topLinePunct w:val="0"/>
        <w:autoSpaceDE/>
        <w:autoSpaceDN/>
        <w:bidi w:val="0"/>
        <w:adjustRightInd w:val="0"/>
        <w:snapToGrid w:val="0"/>
        <w:spacing w:beforeAutospacing="0" w:afterAutospacing="0" w:line="360" w:lineRule="atLeast"/>
        <w:ind w:firstLine="480"/>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4、抢险救灾：</w:t>
      </w:r>
      <w:r>
        <w:rPr>
          <w:rFonts w:hint="eastAsia" w:ascii="宋体" w:hAnsi="宋体" w:eastAsia="宋体" w:cs="宋体"/>
          <w:color w:val="auto"/>
          <w:sz w:val="24"/>
          <w:szCs w:val="24"/>
        </w:rPr>
        <w:t>如遇突击性工作任务时（含招标范围外），中标人应积极支持配合采购人工作。在台风等重大自然灾害期间的抢险救灾任务时，中标人须提供抢险人数不少于30人（不含常驻的日常养护工人），2.5T及以上的垃圾清运车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辆，油锯不少于5把，抽水泵不少于5台，发电机不少于2台，吊车不少于1辆，高空修剪车不少于1辆。投标人报价应包含台风红色预警以下灾害发生所产生的费用，红色预警（含）以上灾害发生所产生的费用，由采购人和中标人另行商定。</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评审项9</w:t>
      </w:r>
      <w:r>
        <w:rPr>
          <w:rFonts w:hint="eastAsia" w:ascii="宋体" w:hAnsi="宋体" w:cs="宋体"/>
          <w:color w:val="auto"/>
          <w:sz w:val="24"/>
          <w:szCs w:val="24"/>
          <w:lang w:eastAsia="zh-CN"/>
        </w:rPr>
        <w:t>）</w:t>
      </w:r>
    </w:p>
    <w:p w14:paraId="764F1063">
      <w:pPr>
        <w:pStyle w:val="20"/>
        <w:keepNext w:val="0"/>
        <w:keepLines w:val="0"/>
        <w:pageBreakBefore w:val="0"/>
        <w:kinsoku/>
        <w:overflowPunct/>
        <w:topLinePunct w:val="0"/>
        <w:autoSpaceDE/>
        <w:autoSpaceDN/>
        <w:bidi w:val="0"/>
        <w:adjustRightInd w:val="0"/>
        <w:snapToGrid w:val="0"/>
        <w:spacing w:beforeAutospacing="0" w:afterAutospacing="0" w:line="360" w:lineRule="atLeas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如在抢险救灾时未及时响应采购人要求，</w:t>
      </w:r>
      <w:r>
        <w:rPr>
          <w:rFonts w:hint="eastAsia" w:ascii="宋体" w:hAnsi="宋体" w:eastAsia="宋体" w:cs="宋体"/>
          <w:color w:val="auto"/>
          <w:sz w:val="24"/>
          <w:szCs w:val="24"/>
        </w:rPr>
        <w:t>采购人有权视情况进行扣款处罚，人员按每次500元/人，机械按每次1000元/件，车辆按每次3000元/辆进行扣款，在当月养护费中直接扣除并在当期考核周期中进行扣分。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评审项10</w:t>
      </w:r>
      <w:r>
        <w:rPr>
          <w:rFonts w:hint="eastAsia" w:ascii="宋体" w:hAnsi="宋体" w:cs="宋体"/>
          <w:color w:val="auto"/>
          <w:sz w:val="24"/>
          <w:szCs w:val="24"/>
          <w:lang w:eastAsia="zh-CN"/>
        </w:rPr>
        <w:t>）</w:t>
      </w:r>
    </w:p>
    <w:p w14:paraId="2AA9EF0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lang w:val="en-US" w:eastAsia="zh-CN"/>
        </w:rPr>
      </w:pPr>
      <w:r>
        <w:rPr>
          <w:rStyle w:val="18"/>
          <w:rFonts w:hint="eastAsia" w:ascii="宋体" w:hAnsi="宋体" w:eastAsia="宋体" w:cs="宋体"/>
          <w:color w:val="auto"/>
          <w:sz w:val="24"/>
          <w:szCs w:val="24"/>
        </w:rPr>
        <w:t>5、植保工作：</w:t>
      </w:r>
      <w:r>
        <w:rPr>
          <w:rFonts w:hint="eastAsia" w:ascii="宋体" w:hAnsi="宋体" w:eastAsia="宋体" w:cs="宋体"/>
          <w:color w:val="auto"/>
          <w:sz w:val="24"/>
          <w:szCs w:val="24"/>
        </w:rPr>
        <w:t>薇甘菊、菟丝子、木虱、天牛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非洲大蜗牛</w:t>
      </w:r>
      <w:r>
        <w:rPr>
          <w:rFonts w:hint="eastAsia" w:ascii="宋体" w:hAnsi="宋体" w:eastAsia="宋体" w:cs="宋体"/>
          <w:color w:val="auto"/>
          <w:sz w:val="24"/>
          <w:szCs w:val="24"/>
        </w:rPr>
        <w:t>等外来有害性</w:t>
      </w:r>
      <w:r>
        <w:rPr>
          <w:rFonts w:hint="eastAsia" w:ascii="宋体" w:hAnsi="宋体" w:eastAsia="宋体" w:cs="宋体"/>
          <w:color w:val="auto"/>
          <w:sz w:val="24"/>
          <w:szCs w:val="24"/>
          <w:lang w:val="en-US" w:eastAsia="zh-CN"/>
        </w:rPr>
        <w:t>动植物</w:t>
      </w:r>
      <w:r>
        <w:rPr>
          <w:rFonts w:hint="eastAsia" w:ascii="宋体" w:hAnsi="宋体" w:eastAsia="宋体" w:cs="宋体"/>
          <w:color w:val="auto"/>
          <w:sz w:val="24"/>
          <w:szCs w:val="24"/>
        </w:rPr>
        <w:t>由中标人负责清理和防治。白蚁、红火蚁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马蜂</w:t>
      </w:r>
      <w:r>
        <w:rPr>
          <w:rFonts w:hint="eastAsia" w:ascii="宋体" w:hAnsi="宋体" w:eastAsia="宋体" w:cs="宋体"/>
          <w:color w:val="auto"/>
          <w:sz w:val="24"/>
          <w:szCs w:val="24"/>
        </w:rPr>
        <w:t>等外来检疫性有害生物的清理和防治由采购人负责，中标人应配合主动检查，并向采购人上报采购地范围内的入侵危害生物的发生情况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一年两次的石硫合剂和捕食螨挂包工作，由中标人负责。（</w:t>
      </w:r>
      <w:r>
        <w:rPr>
          <w:rFonts w:hint="eastAsia" w:ascii="宋体" w:hAnsi="宋体" w:cs="宋体"/>
          <w:color w:val="auto"/>
          <w:sz w:val="24"/>
          <w:szCs w:val="24"/>
          <w:lang w:val="en-US" w:eastAsia="zh-CN"/>
        </w:rPr>
        <w:t>评审项11</w:t>
      </w:r>
      <w:r>
        <w:rPr>
          <w:rFonts w:hint="eastAsia" w:ascii="宋体" w:hAnsi="宋体" w:cs="宋体"/>
          <w:color w:val="auto"/>
          <w:sz w:val="24"/>
          <w:szCs w:val="24"/>
          <w:lang w:eastAsia="zh-CN"/>
        </w:rPr>
        <w:t>）</w:t>
      </w:r>
    </w:p>
    <w:p w14:paraId="3599E38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6、隐蔽签证：</w:t>
      </w:r>
      <w:r>
        <w:rPr>
          <w:rFonts w:hint="eastAsia" w:ascii="宋体" w:hAnsi="宋体" w:eastAsia="宋体" w:cs="宋体"/>
          <w:color w:val="auto"/>
          <w:sz w:val="24"/>
          <w:szCs w:val="24"/>
        </w:rPr>
        <w:t>中标人应负责大树安全隐患的排查及处置工作；大树修剪、土壤改良、施肥及农药的使用需经采购人的同意，并做好签证。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评审项12</w:t>
      </w:r>
      <w:r>
        <w:rPr>
          <w:rFonts w:hint="eastAsia" w:ascii="宋体" w:hAnsi="宋体" w:cs="宋体"/>
          <w:color w:val="auto"/>
          <w:sz w:val="24"/>
          <w:szCs w:val="24"/>
          <w:lang w:eastAsia="zh-CN"/>
        </w:rPr>
        <w:t>）</w:t>
      </w:r>
    </w:p>
    <w:p w14:paraId="36DD502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7、安全责任：</w:t>
      </w:r>
      <w:r>
        <w:rPr>
          <w:rFonts w:hint="eastAsia" w:ascii="宋体" w:hAnsi="宋体" w:eastAsia="宋体" w:cs="宋体"/>
          <w:color w:val="auto"/>
          <w:sz w:val="24"/>
          <w:szCs w:val="24"/>
        </w:rPr>
        <w:t>中标人必须重视安全生产，确保不出安全责任事故。养护期间，养护工人由于操作不规范等因素造成的安全责任事故，由中标人承担一切责任。若采购人先行垫付的，采购人有权抵扣中标人的绿化养护费</w:t>
      </w:r>
      <w:r>
        <w:rPr>
          <w:rFonts w:hint="eastAsia" w:ascii="宋体" w:hAnsi="宋体" w:cs="宋体"/>
          <w:color w:val="auto"/>
          <w:sz w:val="24"/>
          <w:szCs w:val="24"/>
          <w:lang w:val="en-US" w:eastAsia="zh-CN"/>
        </w:rPr>
        <w:t>及履约保证金</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仍</w:t>
      </w:r>
      <w:r>
        <w:rPr>
          <w:rFonts w:hint="eastAsia" w:ascii="宋体" w:hAnsi="宋体" w:eastAsia="宋体" w:cs="宋体"/>
          <w:color w:val="auto"/>
          <w:sz w:val="24"/>
          <w:szCs w:val="24"/>
        </w:rPr>
        <w:t>不足以偿还的，采购人可向中标人继续追偿。</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评审项13</w:t>
      </w:r>
      <w:r>
        <w:rPr>
          <w:rFonts w:hint="eastAsia" w:ascii="宋体" w:hAnsi="宋体" w:cs="宋体"/>
          <w:color w:val="auto"/>
          <w:sz w:val="24"/>
          <w:szCs w:val="24"/>
          <w:lang w:eastAsia="zh-CN"/>
        </w:rPr>
        <w:t>）</w:t>
      </w:r>
    </w:p>
    <w:p w14:paraId="0319AA2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2" w:firstLineChars="200"/>
        <w:jc w:val="left"/>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8、作业规范：</w:t>
      </w:r>
      <w:r>
        <w:rPr>
          <w:rFonts w:hint="eastAsia" w:ascii="宋体" w:hAnsi="宋体" w:eastAsia="宋体" w:cs="宋体"/>
          <w:color w:val="auto"/>
          <w:sz w:val="24"/>
          <w:szCs w:val="24"/>
        </w:rPr>
        <w:t>作业人员</w:t>
      </w:r>
      <w:r>
        <w:rPr>
          <w:rFonts w:hint="eastAsia" w:ascii="宋体" w:hAnsi="宋体" w:eastAsia="宋体" w:cs="宋体"/>
          <w:color w:val="auto"/>
          <w:sz w:val="24"/>
          <w:szCs w:val="24"/>
          <w:lang w:val="en-US" w:eastAsia="zh-CN"/>
        </w:rPr>
        <w:t>要</w:t>
      </w:r>
      <w:r>
        <w:rPr>
          <w:rFonts w:hint="eastAsia" w:ascii="宋体" w:hAnsi="宋体" w:eastAsia="宋体" w:cs="宋体"/>
          <w:color w:val="auto"/>
          <w:sz w:val="24"/>
          <w:szCs w:val="24"/>
        </w:rPr>
        <w:t>严格按照园林绿化技术操作规程组织养护工作，作业人员应具有安全防范意识，正确并安全使用园林机械、化肥农药，高空作业应安全文明施工。未按上述安全文明作业规范要求进行实施的，每发现一次罚款1000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评审项14</w:t>
      </w:r>
      <w:r>
        <w:rPr>
          <w:rFonts w:hint="eastAsia" w:ascii="宋体" w:hAnsi="宋体" w:cs="宋体"/>
          <w:color w:val="auto"/>
          <w:sz w:val="24"/>
          <w:szCs w:val="24"/>
          <w:lang w:eastAsia="zh-CN"/>
        </w:rPr>
        <w:t>）</w:t>
      </w:r>
    </w:p>
    <w:p w14:paraId="4D82B05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9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Style w:val="18"/>
          <w:rFonts w:hint="eastAsia" w:ascii="宋体" w:hAnsi="宋体" w:eastAsia="宋体" w:cs="宋体"/>
          <w:color w:val="auto"/>
          <w:sz w:val="24"/>
          <w:szCs w:val="24"/>
        </w:rPr>
        <w:t>（四）对人员的要求</w:t>
      </w:r>
    </w:p>
    <w:p w14:paraId="406B6E7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1、服务范围内的绿化养护工作，</w:t>
      </w:r>
      <w:r>
        <w:rPr>
          <w:rFonts w:hint="eastAsia" w:ascii="宋体" w:hAnsi="宋体" w:eastAsia="宋体" w:cs="宋体"/>
          <w:color w:val="auto"/>
          <w:sz w:val="24"/>
          <w:szCs w:val="24"/>
          <w:shd w:val="clear" w:color="auto" w:fill="FFFFFF"/>
        </w:rPr>
        <w:t>由中标人负责提供详细</w:t>
      </w:r>
      <w:r>
        <w:rPr>
          <w:rFonts w:hint="eastAsia" w:ascii="宋体" w:hAnsi="宋体" w:cs="宋体"/>
          <w:color w:val="auto"/>
          <w:sz w:val="24"/>
          <w:szCs w:val="24"/>
          <w:shd w:val="clear" w:color="auto" w:fill="FFFFFF"/>
          <w:lang w:val="en-US" w:eastAsia="zh-CN"/>
        </w:rPr>
        <w:t>工作</w:t>
      </w:r>
      <w:r>
        <w:rPr>
          <w:rFonts w:hint="eastAsia" w:ascii="宋体" w:hAnsi="宋体" w:eastAsia="宋体" w:cs="宋体"/>
          <w:color w:val="auto"/>
          <w:sz w:val="24"/>
          <w:szCs w:val="24"/>
          <w:shd w:val="clear" w:color="auto" w:fill="FFFFFF"/>
        </w:rPr>
        <w:t>计划，必须以报告形式告知采购人</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中标人所派遣所有人员必须经过采购人认定后才能进场。日常养护</w:t>
      </w:r>
      <w:r>
        <w:rPr>
          <w:rFonts w:hint="eastAsia" w:ascii="宋体" w:hAnsi="宋体" w:cs="宋体"/>
          <w:color w:val="auto"/>
          <w:sz w:val="24"/>
          <w:szCs w:val="24"/>
          <w:shd w:val="clear" w:color="auto" w:fill="auto"/>
          <w:lang w:val="en-US" w:eastAsia="zh-CN"/>
        </w:rPr>
        <w:t>中标人每日应平均配备27名</w:t>
      </w:r>
      <w:r>
        <w:rPr>
          <w:rFonts w:hint="eastAsia" w:ascii="宋体" w:hAnsi="宋体" w:cs="宋体"/>
          <w:color w:val="auto"/>
          <w:sz w:val="24"/>
          <w:szCs w:val="24"/>
          <w:shd w:val="clear" w:color="auto" w:fill="FFFFFF"/>
          <w:lang w:val="en-US" w:eastAsia="zh-CN"/>
        </w:rPr>
        <w:t>作业人员</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rPr>
        <w:t>如未</w:t>
      </w:r>
      <w:r>
        <w:rPr>
          <w:rFonts w:hint="eastAsia" w:ascii="宋体" w:hAnsi="宋体" w:cs="宋体"/>
          <w:color w:val="auto"/>
          <w:sz w:val="24"/>
          <w:szCs w:val="24"/>
          <w:lang w:val="en-US" w:eastAsia="zh-CN"/>
        </w:rPr>
        <w:t>达到</w:t>
      </w:r>
      <w:r>
        <w:rPr>
          <w:rFonts w:hint="eastAsia" w:ascii="宋体" w:hAnsi="宋体" w:eastAsia="宋体" w:cs="宋体"/>
          <w:color w:val="auto"/>
          <w:sz w:val="24"/>
          <w:szCs w:val="24"/>
        </w:rPr>
        <w:t>要求，采购人有权视情况按500元/人次进行扣款，并在当期考核周期中进行扣分。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评审项15</w:t>
      </w:r>
      <w:r>
        <w:rPr>
          <w:rFonts w:hint="eastAsia" w:ascii="宋体" w:hAnsi="宋体" w:cs="宋体"/>
          <w:color w:val="auto"/>
          <w:sz w:val="24"/>
          <w:szCs w:val="24"/>
          <w:lang w:eastAsia="zh-CN"/>
        </w:rPr>
        <w:t>）</w:t>
      </w:r>
    </w:p>
    <w:p w14:paraId="7DD70109">
      <w:pPr>
        <w:pStyle w:val="12"/>
        <w:keepNext w:val="0"/>
        <w:keepLines w:val="0"/>
        <w:pageBreakBefore w:val="0"/>
        <w:kinsoku/>
        <w:overflowPunct/>
        <w:topLinePunct w:val="0"/>
        <w:autoSpaceDE/>
        <w:autoSpaceDN/>
        <w:bidi w:val="0"/>
        <w:spacing w:beforeAutospacing="0" w:afterAutospacing="0" w:line="36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本项目</w:t>
      </w:r>
      <w:r>
        <w:rPr>
          <w:rFonts w:hint="eastAsia" w:ascii="宋体" w:hAnsi="宋体" w:eastAsia="宋体" w:cs="宋体"/>
          <w:color w:val="auto"/>
          <w:sz w:val="24"/>
          <w:szCs w:val="24"/>
        </w:rPr>
        <w:t>需配备1 名项目负责人</w:t>
      </w:r>
      <w:r>
        <w:rPr>
          <w:rFonts w:hint="eastAsia" w:ascii="宋体" w:hAnsi="宋体" w:cs="宋体"/>
          <w:color w:val="auto"/>
          <w:sz w:val="24"/>
          <w:szCs w:val="24"/>
          <w:lang w:eastAsia="zh-CN"/>
        </w:rPr>
        <w:t>、</w:t>
      </w:r>
      <w:r>
        <w:rPr>
          <w:rFonts w:hint="eastAsia" w:ascii="宋体" w:hAnsi="宋体" w:eastAsia="宋体" w:cs="宋体"/>
          <w:color w:val="auto"/>
          <w:sz w:val="24"/>
          <w:szCs w:val="24"/>
        </w:rPr>
        <w:t>1 名技术负责人</w:t>
      </w:r>
      <w:r>
        <w:rPr>
          <w:rFonts w:hint="eastAsia" w:ascii="宋体" w:hAnsi="宋体" w:cs="宋体"/>
          <w:color w:val="auto"/>
          <w:sz w:val="24"/>
          <w:szCs w:val="24"/>
          <w:lang w:val="en-US" w:eastAsia="zh-CN"/>
        </w:rPr>
        <w:t>和1名现场管理员，以上人员</w:t>
      </w:r>
      <w:r>
        <w:rPr>
          <w:rFonts w:hint="eastAsia" w:ascii="宋体" w:hAnsi="宋体" w:eastAsia="宋体" w:cs="宋体"/>
          <w:color w:val="auto"/>
          <w:sz w:val="24"/>
          <w:szCs w:val="24"/>
          <w:shd w:val="clear" w:color="auto" w:fill="FFFFFF"/>
        </w:rPr>
        <w:t>应为园林绿化从业人员，</w:t>
      </w:r>
      <w:r>
        <w:rPr>
          <w:rFonts w:hint="eastAsia" w:ascii="宋体" w:hAnsi="宋体" w:cs="宋体"/>
          <w:color w:val="auto"/>
          <w:sz w:val="24"/>
          <w:szCs w:val="24"/>
          <w:shd w:val="clear" w:color="auto" w:fill="FFFFFF"/>
          <w:lang w:val="en-US" w:eastAsia="zh-CN"/>
        </w:rPr>
        <w:t>作业人员应</w:t>
      </w:r>
      <w:r>
        <w:rPr>
          <w:rFonts w:hint="eastAsia" w:ascii="宋体" w:hAnsi="宋体" w:eastAsia="宋体" w:cs="宋体"/>
          <w:color w:val="auto"/>
          <w:sz w:val="24"/>
          <w:szCs w:val="24"/>
          <w:shd w:val="clear" w:color="auto" w:fill="FFFFFF"/>
        </w:rPr>
        <w:t>熟悉</w:t>
      </w:r>
      <w:r>
        <w:rPr>
          <w:rFonts w:hint="eastAsia" w:ascii="宋体" w:hAnsi="宋体" w:eastAsia="宋体" w:cs="宋体"/>
          <w:color w:val="auto"/>
          <w:sz w:val="24"/>
          <w:szCs w:val="24"/>
          <w:shd w:val="clear" w:color="auto" w:fill="FFFFFF"/>
          <w:lang w:val="en-US" w:eastAsia="zh-CN"/>
        </w:rPr>
        <w:t>荷花、木芙蓉、三角梅、茉莉花、福橘</w:t>
      </w:r>
      <w:r>
        <w:rPr>
          <w:rFonts w:hint="eastAsia" w:ascii="宋体" w:hAnsi="宋体" w:eastAsia="宋体" w:cs="宋体"/>
          <w:color w:val="auto"/>
          <w:sz w:val="24"/>
          <w:szCs w:val="24"/>
          <w:shd w:val="clear" w:color="auto" w:fill="FFFFFF"/>
        </w:rPr>
        <w:t>栽培</w:t>
      </w:r>
      <w:r>
        <w:rPr>
          <w:rFonts w:hint="eastAsia" w:ascii="宋体" w:hAnsi="宋体" w:eastAsia="宋体" w:cs="宋体"/>
          <w:color w:val="auto"/>
          <w:sz w:val="24"/>
          <w:szCs w:val="24"/>
          <w:shd w:val="clear" w:color="auto" w:fill="FFFFFF"/>
          <w:lang w:val="en-US" w:eastAsia="zh-CN"/>
        </w:rPr>
        <w:t>管理、草花播种经验</w:t>
      </w:r>
      <w:r>
        <w:rPr>
          <w:rFonts w:hint="eastAsia" w:ascii="宋体" w:hAnsi="宋体" w:eastAsia="宋体" w:cs="宋体"/>
          <w:color w:val="auto"/>
          <w:sz w:val="24"/>
          <w:szCs w:val="24"/>
          <w:shd w:val="clear" w:color="auto" w:fill="FFFFFF"/>
        </w:rPr>
        <w:t>和具有大树修剪经验的人员</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修剪工</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w:t>
      </w:r>
      <w:r>
        <w:rPr>
          <w:rFonts w:hint="eastAsia" w:ascii="宋体" w:hAnsi="宋体" w:eastAsia="宋体" w:cs="宋体"/>
          <w:b/>
          <w:color w:val="auto"/>
          <w:sz w:val="24"/>
          <w:szCs w:val="24"/>
          <w:shd w:val="clear" w:color="auto" w:fill="FFFFFF"/>
          <w:lang w:val="en-US" w:eastAsia="zh-CN"/>
        </w:rPr>
        <w:t>注：</w:t>
      </w:r>
      <w:r>
        <w:rPr>
          <w:rFonts w:hint="eastAsia" w:ascii="宋体" w:hAnsi="宋体" w:cs="宋体"/>
          <w:b/>
          <w:color w:val="auto"/>
          <w:sz w:val="24"/>
          <w:szCs w:val="24"/>
          <w:shd w:val="clear" w:color="auto" w:fill="FFFFFF"/>
          <w:lang w:val="en-US" w:eastAsia="zh-CN"/>
        </w:rPr>
        <w:t>投标人</w:t>
      </w:r>
      <w:r>
        <w:rPr>
          <w:rFonts w:hint="eastAsia" w:ascii="宋体" w:hAnsi="宋体" w:eastAsia="宋体" w:cs="宋体"/>
          <w:b/>
          <w:color w:val="auto"/>
          <w:sz w:val="24"/>
          <w:szCs w:val="24"/>
          <w:shd w:val="clear" w:color="auto" w:fill="FFFFFF"/>
          <w:lang w:val="en-US" w:eastAsia="zh-CN"/>
        </w:rPr>
        <w:t>须提供专项承诺函，否则不得分。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评审项16</w:t>
      </w:r>
      <w:r>
        <w:rPr>
          <w:rFonts w:hint="eastAsia" w:ascii="宋体" w:hAnsi="宋体" w:cs="宋体"/>
          <w:color w:val="auto"/>
          <w:sz w:val="24"/>
          <w:szCs w:val="24"/>
          <w:lang w:eastAsia="zh-CN"/>
        </w:rPr>
        <w:t>）</w:t>
      </w:r>
    </w:p>
    <w:p w14:paraId="33BD46E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lang w:val="en-US" w:eastAsia="zh-CN"/>
        </w:rPr>
        <w:t>中标人需满足园区景观提升改造工程及氛围布置工作的各项需求，包括但不限于无人机操作、基础摄影、方案设计、施工实施、效果优化等环节；同时，按需提供具备熟练操作CAD、PS等专业软件能力的设计人员、制图人员及后期处理人员，以保障项目设计图纸绘制、效果图制作等工作完成，确保项目成果达到采购人预期标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评审项17</w:t>
      </w:r>
      <w:r>
        <w:rPr>
          <w:rFonts w:hint="eastAsia" w:ascii="宋体" w:hAnsi="宋体" w:cs="宋体"/>
          <w:color w:val="auto"/>
          <w:sz w:val="24"/>
          <w:szCs w:val="24"/>
          <w:lang w:eastAsia="zh-CN"/>
        </w:rPr>
        <w:t>）</w:t>
      </w:r>
    </w:p>
    <w:p w14:paraId="02A9E048">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lang w:val="en-US" w:eastAsia="zh-CN"/>
        </w:rPr>
        <w:t>中标人应全力配合采购人开展物候观测及科研任务，根据项目需求，及时响应观测安排，协助完成园区物候观察及各项科研任务。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评审项18</w:t>
      </w:r>
      <w:r>
        <w:rPr>
          <w:rFonts w:hint="eastAsia" w:ascii="宋体" w:hAnsi="宋体" w:cs="宋体"/>
          <w:color w:val="auto"/>
          <w:sz w:val="24"/>
          <w:szCs w:val="24"/>
          <w:lang w:eastAsia="zh-CN"/>
        </w:rPr>
        <w:t>）</w:t>
      </w:r>
    </w:p>
    <w:p w14:paraId="320A5BD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、中标人需配备1名</w:t>
      </w:r>
      <w:r>
        <w:rPr>
          <w:rFonts w:hint="eastAsia" w:ascii="宋体" w:hAnsi="宋体" w:cs="宋体"/>
          <w:color w:val="auto"/>
          <w:sz w:val="24"/>
          <w:szCs w:val="24"/>
          <w:lang w:val="en-US" w:eastAsia="zh-CN"/>
        </w:rPr>
        <w:t>植保专业技术人员</w:t>
      </w:r>
      <w:r>
        <w:rPr>
          <w:rFonts w:hint="eastAsia" w:ascii="宋体" w:hAnsi="宋体" w:eastAsia="宋体" w:cs="宋体"/>
          <w:color w:val="auto"/>
          <w:sz w:val="24"/>
          <w:szCs w:val="24"/>
        </w:rPr>
        <w:t>，在合同履行期间随时提供植保方面的</w:t>
      </w:r>
      <w:r>
        <w:rPr>
          <w:rFonts w:hint="eastAsia" w:ascii="宋体" w:hAnsi="宋体" w:cs="宋体"/>
          <w:color w:val="auto"/>
          <w:sz w:val="24"/>
          <w:szCs w:val="24"/>
          <w:lang w:val="en-US" w:eastAsia="zh-CN"/>
        </w:rPr>
        <w:t>工作保障</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评审项19</w:t>
      </w:r>
      <w:r>
        <w:rPr>
          <w:rFonts w:hint="eastAsia" w:ascii="宋体" w:hAnsi="宋体" w:cs="宋体"/>
          <w:color w:val="auto"/>
          <w:sz w:val="24"/>
          <w:szCs w:val="24"/>
          <w:lang w:eastAsia="zh-CN"/>
        </w:rPr>
        <w:t>）</w:t>
      </w:r>
    </w:p>
    <w:p w14:paraId="3D77BFF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、中标人必须保证</w:t>
      </w:r>
      <w:r>
        <w:rPr>
          <w:rFonts w:hint="eastAsia" w:ascii="宋体" w:hAnsi="宋体" w:cs="宋体"/>
          <w:color w:val="auto"/>
          <w:sz w:val="24"/>
          <w:szCs w:val="24"/>
          <w:lang w:val="en-US" w:eastAsia="zh-CN"/>
        </w:rPr>
        <w:t>重要</w:t>
      </w:r>
      <w:r>
        <w:rPr>
          <w:rFonts w:hint="eastAsia" w:ascii="宋体" w:hAnsi="宋体" w:cs="宋体"/>
          <w:color w:val="auto"/>
          <w:sz w:val="24"/>
          <w:szCs w:val="24"/>
          <w:shd w:val="clear" w:color="auto" w:fill="auto"/>
          <w:lang w:val="en-US" w:eastAsia="zh-CN"/>
        </w:rPr>
        <w:t>工作</w:t>
      </w:r>
      <w:r>
        <w:rPr>
          <w:rFonts w:hint="eastAsia" w:ascii="宋体" w:hAnsi="宋体" w:cs="宋体"/>
          <w:color w:val="auto"/>
          <w:sz w:val="24"/>
          <w:szCs w:val="24"/>
          <w:lang w:val="en-US" w:eastAsia="zh-CN"/>
        </w:rPr>
        <w:t>节点</w:t>
      </w:r>
      <w:r>
        <w:rPr>
          <w:rFonts w:hint="eastAsia" w:ascii="宋体" w:hAnsi="宋体" w:eastAsia="宋体" w:cs="宋体"/>
          <w:color w:val="auto"/>
          <w:sz w:val="24"/>
          <w:szCs w:val="24"/>
        </w:rPr>
        <w:t>项目负责人、技术负责人及时到现场指挥协调</w:t>
      </w:r>
      <w:r>
        <w:rPr>
          <w:rFonts w:hint="eastAsia" w:ascii="宋体" w:hAnsi="宋体" w:eastAsia="宋体" w:cs="宋体"/>
          <w:color w:val="auto"/>
          <w:sz w:val="24"/>
          <w:szCs w:val="24"/>
          <w:lang w:val="en-US" w:eastAsia="zh-CN"/>
        </w:rPr>
        <w:t>开展工作</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现场管理员需长驻，</w:t>
      </w:r>
      <w:r>
        <w:rPr>
          <w:rFonts w:hint="eastAsia" w:ascii="宋体" w:hAnsi="宋体" w:eastAsia="宋体" w:cs="宋体"/>
          <w:color w:val="auto"/>
          <w:sz w:val="24"/>
          <w:szCs w:val="24"/>
        </w:rPr>
        <w:t>如采购人发现以上人员没有在现场履行职责，且未向采购人事先书面说明并获得书面同意，则采购人按中标人现场管理人员缺岗每人每次1000元标准扣款。合同期内</w:t>
      </w:r>
      <w:r>
        <w:rPr>
          <w:rFonts w:hint="eastAsia" w:ascii="宋体" w:hAnsi="宋体" w:cs="宋体"/>
          <w:color w:val="auto"/>
          <w:sz w:val="24"/>
          <w:szCs w:val="24"/>
          <w:lang w:val="en-US" w:eastAsia="zh-CN"/>
        </w:rPr>
        <w:t>抽查</w:t>
      </w:r>
      <w:r>
        <w:rPr>
          <w:rFonts w:hint="eastAsia" w:ascii="宋体" w:hAnsi="宋体" w:eastAsia="宋体" w:cs="宋体"/>
          <w:color w:val="auto"/>
          <w:sz w:val="24"/>
          <w:szCs w:val="24"/>
        </w:rPr>
        <w:t>累计3次现场管理人员缺岗的，采购人有权终止合同。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评审项20</w:t>
      </w:r>
      <w:r>
        <w:rPr>
          <w:rFonts w:hint="eastAsia" w:ascii="宋体" w:hAnsi="宋体" w:cs="宋体"/>
          <w:color w:val="auto"/>
          <w:sz w:val="24"/>
          <w:szCs w:val="24"/>
          <w:lang w:eastAsia="zh-CN"/>
        </w:rPr>
        <w:t>）</w:t>
      </w:r>
    </w:p>
    <w:p w14:paraId="06695F6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派驻的管理人员及工作人员</w:t>
      </w:r>
      <w:r>
        <w:rPr>
          <w:rFonts w:hint="eastAsia" w:ascii="宋体" w:hAnsi="宋体" w:eastAsia="宋体" w:cs="宋体"/>
          <w:color w:val="auto"/>
          <w:sz w:val="24"/>
          <w:szCs w:val="24"/>
        </w:rPr>
        <w:t>在公园作业期间不符合采购人要求的，采购人有权要求更换，中标人应予与配合，并承诺考核合格人员要保持稳定，至少服务六个月以上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更换派驻</w:t>
      </w:r>
      <w:r>
        <w:rPr>
          <w:rFonts w:hint="eastAsia" w:ascii="宋体" w:hAnsi="宋体" w:cs="宋体"/>
          <w:color w:val="auto"/>
          <w:sz w:val="24"/>
          <w:szCs w:val="24"/>
          <w:lang w:val="en-US" w:eastAsia="zh-CN"/>
        </w:rPr>
        <w:t>的管理</w:t>
      </w:r>
      <w:r>
        <w:rPr>
          <w:rFonts w:hint="eastAsia" w:ascii="宋体" w:hAnsi="宋体" w:eastAsia="宋体" w:cs="宋体"/>
          <w:color w:val="auto"/>
          <w:sz w:val="24"/>
          <w:szCs w:val="24"/>
        </w:rPr>
        <w:t>人员必须征得采购人的同意，派驻时间达不到六个月的，采购人</w:t>
      </w:r>
      <w:r>
        <w:rPr>
          <w:rFonts w:hint="eastAsia" w:ascii="宋体" w:hAnsi="宋体" w:cs="宋体"/>
          <w:color w:val="auto"/>
          <w:sz w:val="24"/>
          <w:szCs w:val="24"/>
          <w:lang w:val="en-US" w:eastAsia="zh-CN"/>
        </w:rPr>
        <w:t>有权</w:t>
      </w:r>
      <w:r>
        <w:rPr>
          <w:rFonts w:hint="eastAsia" w:ascii="宋体" w:hAnsi="宋体" w:eastAsia="宋体" w:cs="宋体"/>
          <w:color w:val="auto"/>
          <w:sz w:val="24"/>
          <w:szCs w:val="24"/>
        </w:rPr>
        <w:t>对中标人处予以下处罚：更换项目负责人或技术负责人赔偿1万元；更换</w:t>
      </w:r>
      <w:r>
        <w:rPr>
          <w:rFonts w:hint="eastAsia" w:ascii="宋体" w:hAnsi="宋体" w:cs="宋体"/>
          <w:color w:val="auto"/>
          <w:sz w:val="24"/>
          <w:szCs w:val="24"/>
          <w:lang w:val="en-US" w:eastAsia="zh-CN"/>
        </w:rPr>
        <w:t>现场管理员</w:t>
      </w:r>
      <w:r>
        <w:rPr>
          <w:rFonts w:hint="eastAsia" w:ascii="宋体" w:hAnsi="宋体" w:eastAsia="宋体" w:cs="宋体"/>
          <w:color w:val="auto"/>
          <w:sz w:val="24"/>
          <w:szCs w:val="24"/>
        </w:rPr>
        <w:t>赔偿1000-3000元，且更换后的</w:t>
      </w:r>
      <w:r>
        <w:rPr>
          <w:rFonts w:hint="eastAsia" w:ascii="宋体" w:hAnsi="宋体" w:cs="宋体"/>
          <w:color w:val="auto"/>
          <w:sz w:val="24"/>
          <w:szCs w:val="24"/>
          <w:lang w:val="en-US" w:eastAsia="zh-CN"/>
        </w:rPr>
        <w:t>管理</w:t>
      </w:r>
      <w:r>
        <w:rPr>
          <w:rFonts w:hint="eastAsia" w:ascii="宋体" w:hAnsi="宋体" w:eastAsia="宋体" w:cs="宋体"/>
          <w:color w:val="auto"/>
          <w:sz w:val="24"/>
          <w:szCs w:val="24"/>
        </w:rPr>
        <w:t>人员应满足或高于中标人在中标时承诺派驻人员的全部能力要求。</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评审项21</w:t>
      </w:r>
      <w:r>
        <w:rPr>
          <w:rFonts w:hint="eastAsia" w:ascii="宋体" w:hAnsi="宋体" w:cs="宋体"/>
          <w:color w:val="auto"/>
          <w:sz w:val="24"/>
          <w:szCs w:val="24"/>
          <w:lang w:eastAsia="zh-CN"/>
        </w:rPr>
        <w:t>）</w:t>
      </w:r>
    </w:p>
    <w:p w14:paraId="0D6CD38F">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派驻的管理人员</w:t>
      </w:r>
      <w:r>
        <w:rPr>
          <w:rFonts w:hint="eastAsia" w:ascii="宋体" w:hAnsi="宋体" w:eastAsia="宋体" w:cs="宋体"/>
          <w:color w:val="auto"/>
          <w:sz w:val="24"/>
          <w:szCs w:val="24"/>
        </w:rPr>
        <w:t>需服从采购人的管理，如</w:t>
      </w:r>
      <w:r>
        <w:rPr>
          <w:rFonts w:hint="eastAsia" w:ascii="宋体" w:hAnsi="宋体" w:cs="宋体"/>
          <w:color w:val="auto"/>
          <w:sz w:val="24"/>
          <w:szCs w:val="24"/>
          <w:lang w:val="en-US" w:eastAsia="zh-CN"/>
        </w:rPr>
        <w:t>派驻的管理人员</w:t>
      </w:r>
      <w:r>
        <w:rPr>
          <w:rFonts w:hint="eastAsia" w:ascii="宋体" w:hAnsi="宋体" w:eastAsia="宋体" w:cs="宋体"/>
          <w:color w:val="auto"/>
          <w:sz w:val="24"/>
          <w:szCs w:val="24"/>
        </w:rPr>
        <w:t>不能配合采购人开展工作，或给采购人造成不良影响的，采购人有权要求更换</w:t>
      </w:r>
      <w:r>
        <w:rPr>
          <w:rFonts w:hint="eastAsia" w:ascii="宋体" w:hAnsi="宋体" w:cs="宋体"/>
          <w:color w:val="auto"/>
          <w:sz w:val="24"/>
          <w:szCs w:val="24"/>
          <w:lang w:val="en-US" w:eastAsia="zh-CN"/>
        </w:rPr>
        <w:t>派驻的管理人员</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由中标人</w:t>
      </w:r>
      <w:r>
        <w:rPr>
          <w:rFonts w:hint="eastAsia" w:ascii="宋体" w:hAnsi="宋体" w:cs="宋体"/>
          <w:color w:val="auto"/>
          <w:sz w:val="24"/>
          <w:szCs w:val="24"/>
          <w:lang w:val="en-US" w:eastAsia="zh-CN"/>
        </w:rPr>
        <w:t>负责</w:t>
      </w:r>
      <w:r>
        <w:rPr>
          <w:rFonts w:hint="eastAsia" w:ascii="宋体" w:hAnsi="宋体" w:eastAsia="宋体" w:cs="宋体"/>
          <w:color w:val="auto"/>
          <w:sz w:val="24"/>
          <w:szCs w:val="24"/>
          <w:lang w:val="en-US" w:eastAsia="zh-CN"/>
        </w:rPr>
        <w:t>由于</w:t>
      </w:r>
      <w:r>
        <w:rPr>
          <w:rFonts w:hint="eastAsia" w:ascii="宋体" w:hAnsi="宋体" w:eastAsia="宋体" w:cs="宋体"/>
          <w:color w:val="auto"/>
          <w:sz w:val="24"/>
          <w:szCs w:val="24"/>
        </w:rPr>
        <w:t>人员更换</w:t>
      </w:r>
      <w:r>
        <w:rPr>
          <w:rFonts w:hint="eastAsia" w:ascii="宋体" w:hAnsi="宋体" w:eastAsia="宋体" w:cs="宋体"/>
          <w:color w:val="auto"/>
          <w:sz w:val="24"/>
          <w:szCs w:val="24"/>
          <w:lang w:val="en-US" w:eastAsia="zh-CN"/>
        </w:rPr>
        <w:t>产生</w:t>
      </w:r>
      <w:r>
        <w:rPr>
          <w:rFonts w:hint="eastAsia" w:ascii="宋体" w:hAnsi="宋体" w:eastAsia="宋体" w:cs="宋体"/>
          <w:color w:val="auto"/>
          <w:sz w:val="24"/>
          <w:szCs w:val="24"/>
        </w:rPr>
        <w:t>的赔偿费用。在1个合同期限内，更换</w:t>
      </w:r>
      <w:r>
        <w:rPr>
          <w:rFonts w:hint="eastAsia" w:ascii="宋体" w:hAnsi="宋体" w:cs="宋体"/>
          <w:color w:val="auto"/>
          <w:sz w:val="24"/>
          <w:szCs w:val="24"/>
          <w:lang w:val="en-US" w:eastAsia="zh-CN"/>
        </w:rPr>
        <w:t>派驻的管理人员</w:t>
      </w:r>
      <w:r>
        <w:rPr>
          <w:rFonts w:hint="eastAsia" w:ascii="宋体" w:hAnsi="宋体" w:eastAsia="宋体" w:cs="宋体"/>
          <w:color w:val="auto"/>
          <w:sz w:val="24"/>
          <w:szCs w:val="24"/>
        </w:rPr>
        <w:t>的数量不得超过</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人次</w:t>
      </w:r>
      <w:r>
        <w:rPr>
          <w:rFonts w:hint="eastAsia" w:ascii="宋体" w:hAnsi="宋体" w:eastAsia="宋体" w:cs="宋体"/>
          <w:color w:val="auto"/>
          <w:sz w:val="24"/>
          <w:szCs w:val="24"/>
        </w:rPr>
        <w:t>(包含中标人根据采购人要求而进行的更换)，超过</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人次</w:t>
      </w:r>
      <w:r>
        <w:rPr>
          <w:rFonts w:hint="eastAsia" w:ascii="宋体" w:hAnsi="宋体" w:eastAsia="宋体" w:cs="宋体"/>
          <w:color w:val="auto"/>
          <w:sz w:val="24"/>
          <w:szCs w:val="24"/>
        </w:rPr>
        <w:t>时采购人有权解除合同。关于人员更换的事宜，均以书面通知或书面申请为准。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评审项22</w:t>
      </w:r>
      <w:r>
        <w:rPr>
          <w:rFonts w:hint="eastAsia" w:ascii="宋体" w:hAnsi="宋体" w:cs="宋体"/>
          <w:color w:val="auto"/>
          <w:sz w:val="24"/>
          <w:szCs w:val="24"/>
          <w:lang w:eastAsia="zh-CN"/>
        </w:rPr>
        <w:t>）</w:t>
      </w:r>
    </w:p>
    <w:p w14:paraId="114F63BA">
      <w:pPr>
        <w:pStyle w:val="12"/>
        <w:keepNext w:val="0"/>
        <w:keepLines w:val="0"/>
        <w:pageBreakBefore w:val="0"/>
        <w:widowControl/>
        <w:numPr>
          <w:ilvl w:val="0"/>
          <w:numId w:val="0"/>
        </w:numPr>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rPr>
        <w:t>工作人员回乡探亲、休病事假等要及时派人补充，不得出现缺岗现象。如遇任务繁重或特殊气候要求(强台风、特大暴雨等)需要突击性完成工作任务时，中标人应服从采购人有关人员指挥，并按采购人要求增加人力或延长工作时间以保证工作按质按量按时完成。</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评审项23</w:t>
      </w:r>
      <w:r>
        <w:rPr>
          <w:rFonts w:hint="eastAsia" w:ascii="宋体" w:hAnsi="宋体" w:cs="宋体"/>
          <w:color w:val="auto"/>
          <w:sz w:val="24"/>
          <w:szCs w:val="24"/>
          <w:lang w:eastAsia="zh-CN"/>
        </w:rPr>
        <w:t>）</w:t>
      </w:r>
    </w:p>
    <w:p w14:paraId="6AAC197C">
      <w:pPr>
        <w:pStyle w:val="20"/>
        <w:keepNext w:val="0"/>
        <w:keepLines w:val="0"/>
        <w:pageBreakBefore w:val="0"/>
        <w:kinsoku/>
        <w:overflowPunct/>
        <w:topLinePunct w:val="0"/>
        <w:autoSpaceDE/>
        <w:autoSpaceDN/>
        <w:bidi w:val="0"/>
        <w:adjustRightInd w:val="0"/>
        <w:snapToGrid w:val="0"/>
        <w:spacing w:beforeAutospacing="0" w:afterAutospacing="0" w:line="360" w:lineRule="atLeast"/>
        <w:ind w:firstLine="345"/>
        <w:textAlignment w:val="auto"/>
        <w:rPr>
          <w:rFonts w:hint="eastAsia" w:ascii="宋体" w:hAnsi="宋体" w:eastAsia="宋体" w:cs="宋体"/>
          <w:b/>
          <w:color w:val="auto"/>
          <w:sz w:val="24"/>
          <w:szCs w:val="24"/>
          <w:u w:val="none"/>
          <w:lang w:val="en-US" w:eastAsia="zh-CN"/>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10</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shd w:val="clear" w:color="auto" w:fill="FFFFFF"/>
        </w:rPr>
        <w:t>中标人须办理</w:t>
      </w:r>
      <w:r>
        <w:rPr>
          <w:rFonts w:hint="eastAsia" w:ascii="宋体" w:hAnsi="宋体" w:eastAsia="宋体" w:cs="宋体"/>
          <w:color w:val="auto"/>
          <w:sz w:val="24"/>
          <w:szCs w:val="24"/>
          <w:u w:val="none"/>
          <w:shd w:val="clear" w:color="auto" w:fill="FFFFFF"/>
          <w:lang w:val="en-US" w:eastAsia="zh-CN"/>
        </w:rPr>
        <w:t>配备作业</w:t>
      </w:r>
      <w:r>
        <w:rPr>
          <w:rFonts w:hint="eastAsia" w:ascii="宋体" w:hAnsi="宋体" w:eastAsia="宋体" w:cs="宋体"/>
          <w:color w:val="auto"/>
          <w:sz w:val="24"/>
          <w:szCs w:val="24"/>
          <w:u w:val="none"/>
          <w:shd w:val="clear" w:color="auto" w:fill="FFFFFF"/>
        </w:rPr>
        <w:t>人员的人身意外保险</w:t>
      </w:r>
      <w:r>
        <w:rPr>
          <w:rFonts w:hint="eastAsia" w:ascii="宋体" w:hAnsi="宋体" w:eastAsia="宋体" w:cs="宋体"/>
          <w:color w:val="auto"/>
          <w:sz w:val="24"/>
          <w:szCs w:val="24"/>
          <w:u w:val="none"/>
          <w:shd w:val="clear" w:color="auto" w:fill="FFFFFF"/>
          <w:lang w:val="en-US" w:eastAsia="zh-CN"/>
        </w:rPr>
        <w:t>或雇主责任险</w:t>
      </w:r>
      <w:r>
        <w:rPr>
          <w:rFonts w:hint="eastAsia" w:ascii="宋体" w:hAnsi="宋体" w:eastAsia="宋体" w:cs="宋体"/>
          <w:color w:val="auto"/>
          <w:sz w:val="24"/>
          <w:szCs w:val="24"/>
          <w:u w:val="none"/>
          <w:shd w:val="clear" w:color="auto" w:fill="FFFFFF"/>
        </w:rPr>
        <w:t>，中标后进场服务前并提供相应资料供采购人查验。</w:t>
      </w:r>
      <w:r>
        <w:rPr>
          <w:rFonts w:hint="eastAsia" w:ascii="宋体" w:hAnsi="宋体" w:eastAsia="宋体" w:cs="宋体"/>
          <w:b/>
          <w:color w:val="auto"/>
          <w:sz w:val="24"/>
          <w:szCs w:val="24"/>
          <w:u w:val="none"/>
          <w:lang w:val="en-US" w:eastAsia="zh-CN"/>
        </w:rPr>
        <w:t>注：投标人须提供专项承诺函，否则按无效投标处理。</w:t>
      </w:r>
    </w:p>
    <w:p w14:paraId="24B5B561">
      <w:pPr>
        <w:pStyle w:val="20"/>
        <w:keepNext w:val="0"/>
        <w:keepLines w:val="0"/>
        <w:pageBreakBefore w:val="0"/>
        <w:kinsoku/>
        <w:overflowPunct/>
        <w:topLinePunct w:val="0"/>
        <w:autoSpaceDE/>
        <w:autoSpaceDN/>
        <w:bidi w:val="0"/>
        <w:adjustRightInd w:val="0"/>
        <w:snapToGrid w:val="0"/>
        <w:spacing w:beforeAutospacing="0" w:afterAutospacing="0" w:line="360" w:lineRule="atLeast"/>
        <w:ind w:firstLine="345"/>
        <w:textAlignment w:val="auto"/>
        <w:rPr>
          <w:rFonts w:hint="eastAsia" w:ascii="宋体" w:hAnsi="宋体" w:eastAsia="宋体" w:cs="宋体"/>
          <w:color w:val="auto"/>
          <w:sz w:val="24"/>
          <w:szCs w:val="24"/>
          <w:u w:val="none"/>
          <w:lang w:eastAsia="zh-CN"/>
        </w:rPr>
      </w:pPr>
      <w:r>
        <w:rPr>
          <w:rFonts w:hint="eastAsia" w:ascii="宋体" w:hAnsi="宋体" w:eastAsia="宋体" w:cs="宋体"/>
          <w:b w:val="0"/>
          <w:bCs/>
          <w:color w:val="auto"/>
          <w:sz w:val="24"/>
          <w:szCs w:val="24"/>
          <w:u w:val="none"/>
          <w:lang w:val="en-US" w:eastAsia="zh-CN"/>
        </w:rPr>
        <w:t>（2）</w:t>
      </w:r>
      <w:r>
        <w:rPr>
          <w:rFonts w:hint="eastAsia" w:ascii="宋体" w:hAnsi="宋体" w:eastAsia="宋体" w:cs="宋体"/>
          <w:color w:val="auto"/>
          <w:sz w:val="24"/>
          <w:szCs w:val="24"/>
          <w:u w:val="none"/>
        </w:rPr>
        <w:t>本次采购项目所配备的人员男性不得高于60周岁,女性不得高于55周岁,员工工资每人每月不得低于福州市最低工资标准</w:t>
      </w:r>
      <w:r>
        <w:rPr>
          <w:rFonts w:hint="eastAsia" w:ascii="宋体" w:hAnsi="宋体" w:eastAsia="宋体" w:cs="宋体"/>
          <w:color w:val="auto"/>
          <w:sz w:val="24"/>
          <w:szCs w:val="24"/>
          <w:u w:val="none"/>
          <w:lang w:eastAsia="zh-CN"/>
        </w:rPr>
        <w:t>。</w:t>
      </w:r>
      <w:r>
        <w:rPr>
          <w:rFonts w:hint="eastAsia" w:ascii="宋体" w:hAnsi="宋体" w:eastAsia="宋体" w:cs="宋体"/>
          <w:b/>
          <w:color w:val="auto"/>
          <w:sz w:val="24"/>
          <w:szCs w:val="24"/>
          <w:u w:val="none"/>
          <w:lang w:val="en-US" w:eastAsia="zh-CN"/>
        </w:rPr>
        <w:t>注：投标人须提供专项承诺函，否则按无效投标处理。</w:t>
      </w:r>
    </w:p>
    <w:p w14:paraId="35F2677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、中标后，采购人对承诺派驻的人员的相关证件进行复核，确认其真实性，如有使用虚假证件的，采购人有权取消合同，并没收履约保证金。</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评审项24</w:t>
      </w:r>
      <w:r>
        <w:rPr>
          <w:rFonts w:hint="eastAsia" w:ascii="宋体" w:hAnsi="宋体" w:cs="宋体"/>
          <w:color w:val="auto"/>
          <w:sz w:val="24"/>
          <w:szCs w:val="24"/>
          <w:lang w:eastAsia="zh-CN"/>
        </w:rPr>
        <w:t>）</w:t>
      </w:r>
    </w:p>
    <w:p w14:paraId="0AB4BA87">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Style w:val="18"/>
          <w:rFonts w:hint="eastAsia" w:ascii="宋体" w:hAnsi="宋体" w:eastAsia="宋体" w:cs="宋体"/>
          <w:color w:val="auto"/>
          <w:sz w:val="24"/>
          <w:szCs w:val="24"/>
        </w:rPr>
        <w:t>（五）对工具物料的要求</w:t>
      </w:r>
    </w:p>
    <w:p w14:paraId="1A873308">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1、日常使用设备：中标人必须按采购人的要求</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能正常使用的工具、机械，包括</w:t>
      </w:r>
      <w:r>
        <w:rPr>
          <w:rFonts w:hint="eastAsia" w:ascii="宋体" w:hAnsi="宋体" w:eastAsia="宋体" w:cs="宋体"/>
          <w:color w:val="auto"/>
          <w:sz w:val="24"/>
          <w:szCs w:val="24"/>
          <w:lang w:val="en-US" w:eastAsia="zh-CN"/>
        </w:rPr>
        <w:t>拍摄用无人机</w:t>
      </w:r>
      <w:r>
        <w:rPr>
          <w:rFonts w:hint="eastAsia" w:ascii="宋体" w:hAnsi="宋体" w:cs="宋体"/>
          <w:color w:val="auto"/>
          <w:sz w:val="24"/>
          <w:szCs w:val="24"/>
          <w:lang w:val="en-US" w:eastAsia="zh-CN"/>
        </w:rPr>
        <w:t>1架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绿化洒水车1辆、高空修剪车至少1 辆(能满足高大乔木修剪枯枝的要求)、绿化工具车至少1辆、割草机 5台以上（含5台）、</w:t>
      </w:r>
      <w:r>
        <w:rPr>
          <w:rFonts w:hint="eastAsia" w:ascii="宋体" w:hAnsi="宋体" w:eastAsia="宋体" w:cs="宋体"/>
          <w:color w:val="auto"/>
          <w:sz w:val="24"/>
          <w:szCs w:val="24"/>
          <w:lang w:val="en-US" w:eastAsia="zh-CN"/>
        </w:rPr>
        <w:t>草坪透气打孔器2台、</w:t>
      </w:r>
      <w:r>
        <w:rPr>
          <w:rFonts w:hint="eastAsia" w:ascii="宋体" w:hAnsi="宋体" w:eastAsia="宋体" w:cs="宋体"/>
          <w:color w:val="auto"/>
          <w:sz w:val="24"/>
          <w:szCs w:val="24"/>
        </w:rPr>
        <w:t>绿篱机3台以上（含3台）、抽水泵</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台以上（含</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台）、背负式打药机3台以上（含3台）、手推式高压喷药车1台以上（含1台）、油锯5把以上（含5把）、</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台旋耕机（作业宽度不低于140cm）等工作需要的各种工具和物料(包含工具所需要的汽油、机油等)，以保证管理工作的顺利开展。</w:t>
      </w:r>
      <w:r>
        <w:rPr>
          <w:rFonts w:hint="eastAsia" w:ascii="宋体" w:hAnsi="宋体" w:eastAsia="宋体" w:cs="宋体"/>
          <w:b/>
          <w:bCs/>
          <w:color w:val="auto"/>
          <w:sz w:val="24"/>
          <w:szCs w:val="24"/>
          <w:lang w:val="en-US" w:eastAsia="zh-CN"/>
        </w:rPr>
        <w:t>注：</w:t>
      </w:r>
      <w:r>
        <w:rPr>
          <w:rStyle w:val="18"/>
          <w:rFonts w:hint="eastAsia" w:ascii="宋体" w:hAnsi="宋体" w:eastAsia="宋体" w:cs="宋体"/>
          <w:color w:val="auto"/>
          <w:sz w:val="24"/>
          <w:szCs w:val="24"/>
        </w:rPr>
        <w:t>投标人须承诺在中标后为本项目配备以上工具、车辆、机械，</w:t>
      </w:r>
      <w:r>
        <w:rPr>
          <w:rStyle w:val="18"/>
          <w:rFonts w:hint="eastAsia" w:ascii="宋体" w:hAnsi="宋体" w:cs="宋体"/>
          <w:color w:val="auto"/>
          <w:sz w:val="24"/>
          <w:szCs w:val="24"/>
          <w:lang w:eastAsia="zh-CN"/>
        </w:rPr>
        <w:t>否则按无效投标处理</w:t>
      </w:r>
      <w:r>
        <w:rPr>
          <w:rStyle w:val="18"/>
          <w:rFonts w:hint="eastAsia" w:ascii="宋体" w:hAnsi="宋体" w:eastAsia="宋体" w:cs="宋体"/>
          <w:color w:val="auto"/>
          <w:sz w:val="24"/>
          <w:szCs w:val="24"/>
        </w:rPr>
        <w:t>。</w:t>
      </w:r>
    </w:p>
    <w:p w14:paraId="0A8C5F0B">
      <w:pPr>
        <w:pStyle w:val="20"/>
        <w:keepNext w:val="0"/>
        <w:keepLines w:val="0"/>
        <w:pageBreakBefore w:val="0"/>
        <w:kinsoku/>
        <w:overflowPunct/>
        <w:topLinePunct w:val="0"/>
        <w:autoSpaceDE/>
        <w:autoSpaceDN/>
        <w:bidi w:val="0"/>
        <w:adjustRightInd w:val="0"/>
        <w:snapToGrid w:val="0"/>
        <w:spacing w:beforeAutospacing="0" w:afterAutospacing="0" w:line="36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2、物料、工具、器械、车辆的</w:t>
      </w:r>
      <w:r>
        <w:rPr>
          <w:rFonts w:hint="eastAsia" w:ascii="宋体" w:hAnsi="宋体" w:eastAsia="宋体" w:cs="宋体"/>
          <w:color w:val="auto"/>
          <w:sz w:val="24"/>
          <w:szCs w:val="24"/>
          <w:lang w:val="en-US" w:eastAsia="zh-CN"/>
        </w:rPr>
        <w:t>存</w:t>
      </w:r>
      <w:r>
        <w:rPr>
          <w:rFonts w:hint="eastAsia" w:ascii="宋体" w:hAnsi="宋体" w:eastAsia="宋体" w:cs="宋体"/>
          <w:color w:val="auto"/>
          <w:sz w:val="24"/>
          <w:szCs w:val="24"/>
        </w:rPr>
        <w:t>放场地由中标人负责，在园内的保管工作由中标人负责，如有遗失或因管理不当造成的损失和赔偿均由中标人承担。</w:t>
      </w:r>
      <w:r>
        <w:rPr>
          <w:rFonts w:hint="eastAsia" w:ascii="宋体" w:hAnsi="宋体" w:eastAsia="宋体" w:cs="宋体"/>
          <w:color w:val="auto"/>
          <w:sz w:val="24"/>
          <w:szCs w:val="24"/>
          <w:shd w:val="clear" w:color="auto" w:fill="FFFFFF"/>
        </w:rPr>
        <w:t>如在日常工作中机械、车辆未应采购人要求到场，</w:t>
      </w:r>
      <w:r>
        <w:rPr>
          <w:rFonts w:hint="eastAsia" w:ascii="宋体" w:hAnsi="宋体" w:eastAsia="宋体" w:cs="宋体"/>
          <w:color w:val="auto"/>
          <w:sz w:val="24"/>
          <w:szCs w:val="24"/>
        </w:rPr>
        <w:t>采购人有权视情况进行扣款处罚，机械按每次500元/件，车辆按每次2000元/辆进行扣款，在当月养护费中直接扣除并在当期考核周期中进行扣分。</w:t>
      </w:r>
    </w:p>
    <w:p w14:paraId="4B198E65">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left"/>
        <w:textAlignment w:val="auto"/>
        <w:rPr>
          <w:rFonts w:hint="eastAsia" w:ascii="宋体" w:hAnsi="宋体" w:eastAsia="宋体" w:cs="宋体"/>
          <w:color w:val="auto"/>
          <w:sz w:val="24"/>
          <w:szCs w:val="24"/>
        </w:rPr>
      </w:pPr>
      <w:r>
        <w:rPr>
          <w:rFonts w:ascii="宋体" w:hAnsi="宋体" w:eastAsia="宋体" w:cs="宋体"/>
          <w:bCs/>
          <w:color w:val="auto"/>
          <w:sz w:val="24"/>
          <w:szCs w:val="24"/>
        </w:rPr>
        <w:t>★</w:t>
      </w:r>
      <w:r>
        <w:rPr>
          <w:rStyle w:val="18"/>
          <w:rFonts w:hint="eastAsia" w:ascii="宋体" w:hAnsi="宋体" w:eastAsia="宋体" w:cs="宋体"/>
          <w:color w:val="auto"/>
          <w:sz w:val="24"/>
          <w:szCs w:val="24"/>
        </w:rPr>
        <w:t>（六）养护要求</w:t>
      </w:r>
    </w:p>
    <w:p w14:paraId="6B326C47">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190"/>
        <w:jc w:val="left"/>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福州市闽江公园所属园区园林绿化养护管理质量标准</w:t>
      </w:r>
    </w:p>
    <w:p w14:paraId="185D004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w:t>
      </w:r>
      <w:r>
        <w:rPr>
          <w:rFonts w:hint="eastAsia" w:ascii="宋体" w:hAnsi="宋体" w:cs="宋体"/>
          <w:color w:val="auto"/>
          <w:sz w:val="24"/>
          <w:szCs w:val="24"/>
          <w:lang w:val="en-US" w:eastAsia="zh-CN"/>
        </w:rPr>
        <w:t>福州市园林中心颁布的</w:t>
      </w:r>
      <w:r>
        <w:rPr>
          <w:rFonts w:ascii="宋体" w:hAnsi="宋体" w:eastAsia="宋体" w:cs="宋体"/>
          <w:color w:val="auto"/>
          <w:sz w:val="24"/>
          <w:szCs w:val="24"/>
          <w:shd w:val="clear" w:color="auto" w:fill="FFFFFF"/>
        </w:rPr>
        <w:t>《</w:t>
      </w:r>
      <w:r>
        <w:rPr>
          <w:rFonts w:hint="eastAsia" w:ascii="宋体" w:hAnsi="宋体" w:eastAsia="宋体" w:cs="宋体"/>
          <w:bCs/>
          <w:color w:val="auto"/>
          <w:sz w:val="24"/>
          <w:shd w:val="clear" w:color="auto" w:fill="FFFFFF"/>
        </w:rPr>
        <w:t>福州市市管公园绿化分级养护质量标准及评分细则</w:t>
      </w:r>
      <w:r>
        <w:rPr>
          <w:rFonts w:ascii="宋体" w:hAnsi="宋体" w:eastAsia="宋体" w:cs="宋体"/>
          <w:color w:val="auto"/>
          <w:sz w:val="24"/>
          <w:szCs w:val="24"/>
          <w:shd w:val="clear" w:color="auto" w:fill="FFFFFF"/>
        </w:rPr>
        <w:t>》中的</w:t>
      </w:r>
      <w:r>
        <w:rPr>
          <w:rFonts w:hint="eastAsia" w:ascii="宋体" w:hAnsi="宋体" w:eastAsia="宋体" w:cs="宋体"/>
          <w:color w:val="auto"/>
          <w:sz w:val="24"/>
          <w:szCs w:val="24"/>
          <w:shd w:val="clear" w:color="auto" w:fill="FFFFFF"/>
          <w:lang w:val="en-US" w:eastAsia="zh-CN"/>
        </w:rPr>
        <w:t>一</w:t>
      </w:r>
      <w:r>
        <w:rPr>
          <w:rFonts w:ascii="宋体" w:hAnsi="宋体" w:eastAsia="宋体" w:cs="宋体"/>
          <w:color w:val="auto"/>
          <w:sz w:val="24"/>
          <w:szCs w:val="24"/>
          <w:shd w:val="clear" w:color="auto" w:fill="FFFFFF"/>
        </w:rPr>
        <w:t>级</w:t>
      </w:r>
      <w:r>
        <w:rPr>
          <w:rFonts w:hint="eastAsia" w:ascii="宋体" w:hAnsi="宋体" w:cs="宋体"/>
          <w:color w:val="auto"/>
          <w:sz w:val="24"/>
          <w:szCs w:val="24"/>
          <w:shd w:val="clear" w:color="auto" w:fill="FFFFFF"/>
          <w:lang w:val="en-US" w:eastAsia="zh-CN"/>
        </w:rPr>
        <w:t>养护质量</w:t>
      </w:r>
      <w:r>
        <w:rPr>
          <w:rFonts w:ascii="宋体" w:hAnsi="宋体" w:eastAsia="宋体" w:cs="宋体"/>
          <w:color w:val="auto"/>
          <w:sz w:val="24"/>
          <w:szCs w:val="24"/>
          <w:shd w:val="clear" w:color="auto" w:fill="FFFFFF"/>
        </w:rPr>
        <w:t>标准要求</w:t>
      </w:r>
      <w:r>
        <w:rPr>
          <w:rFonts w:hint="eastAsia" w:ascii="宋体" w:hAnsi="宋体" w:eastAsia="宋体" w:cs="宋体"/>
          <w:color w:val="auto"/>
          <w:sz w:val="24"/>
          <w:szCs w:val="24"/>
          <w:lang w:val="en-US" w:eastAsia="zh-CN"/>
        </w:rPr>
        <w:t>。</w:t>
      </w:r>
    </w:p>
    <w:p w14:paraId="4C524B19">
      <w:pPr>
        <w:pStyle w:val="20"/>
        <w:keepNext w:val="0"/>
        <w:keepLines w:val="0"/>
        <w:pageBreakBefore w:val="0"/>
        <w:kinsoku/>
        <w:overflowPunct/>
        <w:topLinePunct w:val="0"/>
        <w:autoSpaceDE/>
        <w:autoSpaceDN/>
        <w:bidi w:val="0"/>
        <w:adjustRightInd w:val="0"/>
        <w:snapToGrid w:val="0"/>
        <w:spacing w:beforeAutospacing="0" w:afterAutospacing="0" w:line="360" w:lineRule="atLeas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人应按照《福州市生活垃圾分类工作指引》（4-1，四，（五）自行投放至辖区规范的大件垃圾投放点集散点，或通过公众号、电话等方式预约福州市大件废弃物处置服务有限公司上门进行搬运、运输和处置）等相关要求做好大件（园林）垃圾处置工作。</w:t>
      </w:r>
    </w:p>
    <w:p w14:paraId="4759484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、古树名木保护：对古树名木进行调查登记、建立档案、设置标志，并加强管护技术指导和监督，</w:t>
      </w: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一次对古树名木生长和管护情况进行检查，</w:t>
      </w:r>
      <w:r>
        <w:rPr>
          <w:rFonts w:hint="eastAsia" w:ascii="宋体" w:hAnsi="宋体" w:eastAsia="宋体" w:cs="宋体"/>
          <w:color w:val="auto"/>
          <w:sz w:val="24"/>
          <w:szCs w:val="24"/>
          <w:lang w:val="en-US" w:eastAsia="zh-CN"/>
        </w:rPr>
        <w:t>做好记录，发现古树生长异常或者受到不良影响破坏。应立即上报采购人，并根据采购人要求进行古树复壮等抢救措施。</w:t>
      </w:r>
    </w:p>
    <w:p w14:paraId="73F9BC7D">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left"/>
        <w:textAlignment w:val="auto"/>
        <w:rPr>
          <w:rFonts w:hint="eastAsia" w:ascii="宋体" w:hAnsi="宋体" w:eastAsia="宋体" w:cs="宋体"/>
          <w:color w:val="auto"/>
          <w:sz w:val="24"/>
          <w:szCs w:val="24"/>
        </w:rPr>
      </w:pPr>
      <w:r>
        <w:rPr>
          <w:rStyle w:val="18"/>
          <w:rFonts w:hint="eastAsia" w:ascii="宋体" w:hAnsi="宋体" w:eastAsia="宋体" w:cs="宋体"/>
          <w:color w:val="auto"/>
          <w:sz w:val="24"/>
          <w:szCs w:val="24"/>
        </w:rPr>
        <w:t>（七）草花播种和养护</w:t>
      </w:r>
    </w:p>
    <w:p w14:paraId="6C1D1B7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草花播种：根据花海公园的物候特征，以及采购人的要求提前做好每年的草花播种计划，要求涵盖草花品种推荐、养护办法（包含翻地、整地、开垄、播种、浇水、打药、施肥、除草、间苗、补植及花后清理）和预期开花效果。并于每次播种前做好草花试播工作并建立试播档案。确保草花</w:t>
      </w:r>
      <w:r>
        <w:rPr>
          <w:rFonts w:hint="eastAsia" w:ascii="宋体" w:hAnsi="宋体" w:eastAsia="宋体" w:cs="宋体"/>
          <w:color w:val="auto"/>
          <w:sz w:val="24"/>
          <w:szCs w:val="24"/>
          <w:lang w:val="en-US" w:eastAsia="zh-CN"/>
        </w:rPr>
        <w:t>盛花</w:t>
      </w:r>
      <w:r>
        <w:rPr>
          <w:rFonts w:hint="eastAsia" w:ascii="宋体" w:hAnsi="宋体" w:eastAsia="宋体" w:cs="宋体"/>
          <w:color w:val="auto"/>
          <w:sz w:val="24"/>
          <w:szCs w:val="24"/>
        </w:rPr>
        <w:t>花期按计划时间到达（误差不超过5天），盛花面积达到播种面积的90%以上，草花密度、高度、花色达到播种计划要求。</w:t>
      </w:r>
      <w:r>
        <w:rPr>
          <w:rFonts w:hint="eastAsia" w:ascii="宋体" w:hAnsi="宋体" w:eastAsia="宋体" w:cs="宋体"/>
          <w:color w:val="auto"/>
          <w:sz w:val="24"/>
          <w:szCs w:val="24"/>
          <w:lang w:val="en-US" w:eastAsia="zh-CN"/>
        </w:rPr>
        <w:t>未达到要求所发生的补救措施涉及费用由中标人负责。</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评审项25</w:t>
      </w:r>
      <w:r>
        <w:rPr>
          <w:rFonts w:hint="eastAsia" w:ascii="宋体" w:hAnsi="宋体" w:cs="宋体"/>
          <w:color w:val="auto"/>
          <w:sz w:val="24"/>
          <w:szCs w:val="24"/>
          <w:lang w:eastAsia="zh-CN"/>
        </w:rPr>
        <w:t>）</w:t>
      </w:r>
    </w:p>
    <w:p w14:paraId="7FDE8EA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（2）草花养护：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评审项26</w:t>
      </w:r>
      <w:r>
        <w:rPr>
          <w:rFonts w:hint="eastAsia" w:ascii="宋体" w:hAnsi="宋体" w:cs="宋体"/>
          <w:color w:val="auto"/>
          <w:sz w:val="24"/>
          <w:szCs w:val="24"/>
          <w:lang w:eastAsia="zh-CN"/>
        </w:rPr>
        <w:t>）</w:t>
      </w:r>
    </w:p>
    <w:p w14:paraId="5F3040B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①浇水：应根据不同季节与草花的生长要求及时进行浇水，浇水应适当，不得冲歪植株、飞溅泥土。</w:t>
      </w:r>
    </w:p>
    <w:p w14:paraId="6D4F851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②施肥：基肥3次/年，每次每平方米不得少于0.18kg。根据植株生长需求追施肥料。</w:t>
      </w:r>
    </w:p>
    <w:p w14:paraId="20B4FCD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③除草：及时拔除草花中的杂草。</w:t>
      </w:r>
    </w:p>
    <w:p w14:paraId="51701D4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④修剪整形：及时摘除残花、枯叶、黄叶、断枝等；适当修剪徒长的枝叶；易倒伏的草花，要立支柱绑扎。</w:t>
      </w:r>
    </w:p>
    <w:p w14:paraId="7A509E4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⑤病虫害防治：发现病株或有害生物应及时销毁，并进行药物防治。</w:t>
      </w:r>
    </w:p>
    <w:p w14:paraId="1ECAABB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⑥间苗、补植：根据草花生长情况调整种植密度，及时补植丢失、损坏、枯死的草花。</w:t>
      </w:r>
    </w:p>
    <w:p w14:paraId="05EB70A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⑦保洁：植株叶片应保持干净、无粉尘；及时清理花田中的垃圾；保持周边卫生环境整洁，无花泥、枯枝落叶及污物的散落。</w:t>
      </w:r>
    </w:p>
    <w:p w14:paraId="0F147DC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（3）石沟清理：每茬草花播种期间，完成防洪堤斜坡下方石头排水沟清理，清掏泥土并回填至防洪堤斜坡花田，冲洗沟道，规整边界。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评审项27</w:t>
      </w:r>
      <w:r>
        <w:rPr>
          <w:rFonts w:hint="eastAsia" w:ascii="宋体" w:hAnsi="宋体" w:cs="宋体"/>
          <w:color w:val="auto"/>
          <w:sz w:val="24"/>
          <w:szCs w:val="24"/>
          <w:lang w:eastAsia="zh-CN"/>
        </w:rPr>
        <w:t>）</w:t>
      </w:r>
    </w:p>
    <w:p w14:paraId="20568D3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）土壤改良：</w:t>
      </w:r>
    </w:p>
    <w:p w14:paraId="66C85E1D">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①合同期内每年至少对草花花田完成一次以上的</w:t>
      </w:r>
      <w:r>
        <w:rPr>
          <w:rFonts w:hint="eastAsia" w:ascii="宋体" w:hAnsi="宋体" w:eastAsia="宋体" w:cs="宋体"/>
          <w:color w:val="auto"/>
          <w:sz w:val="24"/>
          <w:szCs w:val="24"/>
          <w:lang w:val="en-US" w:eastAsia="zh-CN"/>
        </w:rPr>
        <w:t>10cm厚</w:t>
      </w:r>
      <w:r>
        <w:rPr>
          <w:rFonts w:hint="eastAsia" w:ascii="宋体" w:hAnsi="宋体" w:eastAsia="宋体" w:cs="宋体"/>
          <w:color w:val="auto"/>
          <w:sz w:val="24"/>
          <w:szCs w:val="24"/>
        </w:rPr>
        <w:t>土壤改良工作，</w:t>
      </w:r>
      <w:r>
        <w:rPr>
          <w:rFonts w:hint="eastAsia" w:ascii="宋体" w:hAnsi="宋体" w:eastAsia="宋体" w:cs="宋体"/>
          <w:color w:val="auto"/>
          <w:sz w:val="24"/>
          <w:szCs w:val="24"/>
          <w:lang w:val="en-US" w:eastAsia="zh-CN"/>
        </w:rPr>
        <w:t>根据业主要求对土方流失较多的花田进行补土</w:t>
      </w:r>
      <w:r>
        <w:rPr>
          <w:rFonts w:hint="eastAsia" w:ascii="宋体" w:hAnsi="宋体" w:eastAsia="宋体" w:cs="宋体"/>
          <w:color w:val="auto"/>
          <w:sz w:val="24"/>
          <w:szCs w:val="24"/>
        </w:rPr>
        <w:t>，土壤改良所涉及的费用由中标人承担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土壤改良合格以</w:t>
      </w:r>
      <w:r>
        <w:rPr>
          <w:rFonts w:hint="eastAsia" w:ascii="宋体" w:hAnsi="宋体" w:eastAsia="宋体" w:cs="宋体"/>
          <w:color w:val="auto"/>
          <w:sz w:val="24"/>
          <w:szCs w:val="24"/>
        </w:rPr>
        <w:t>土壤抽检报告（参数标准详见以下表格）</w:t>
      </w:r>
      <w:r>
        <w:rPr>
          <w:rFonts w:hint="eastAsia" w:ascii="宋体" w:hAnsi="宋体" w:eastAsia="宋体" w:cs="宋体"/>
          <w:color w:val="auto"/>
          <w:sz w:val="24"/>
          <w:szCs w:val="24"/>
          <w:lang w:val="en-US" w:eastAsia="zh-CN"/>
        </w:rPr>
        <w:t>为准</w:t>
      </w:r>
      <w:r>
        <w:rPr>
          <w:rFonts w:hint="eastAsia" w:ascii="宋体" w:hAnsi="宋体" w:eastAsia="宋体" w:cs="宋体"/>
          <w:color w:val="auto"/>
          <w:sz w:val="24"/>
          <w:szCs w:val="24"/>
        </w:rPr>
        <w:t>。</w:t>
      </w:r>
    </w:p>
    <w:tbl>
      <w:tblPr>
        <w:tblStyle w:val="15"/>
        <w:tblW w:w="4915"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60"/>
        <w:gridCol w:w="586"/>
        <w:gridCol w:w="3026"/>
        <w:gridCol w:w="4443"/>
      </w:tblGrid>
      <w:tr w14:paraId="62E0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1BC49750">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72" w:type="pct"/>
            <w:gridSpan w:val="2"/>
            <w:shd w:val="clear" w:color="auto" w:fill="auto"/>
            <w:tcMar>
              <w:top w:w="0" w:type="dxa"/>
              <w:left w:w="70" w:type="dxa"/>
              <w:bottom w:w="0" w:type="dxa"/>
              <w:right w:w="70" w:type="dxa"/>
            </w:tcMar>
            <w:vAlign w:val="center"/>
          </w:tcPr>
          <w:p w14:paraId="2365BDA2">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控制指标</w:t>
            </w:r>
          </w:p>
        </w:tc>
        <w:tc>
          <w:tcPr>
            <w:tcW w:w="2318" w:type="pct"/>
            <w:shd w:val="clear" w:color="auto" w:fill="auto"/>
            <w:tcMar>
              <w:top w:w="0" w:type="dxa"/>
              <w:left w:w="70" w:type="dxa"/>
              <w:bottom w:w="0" w:type="dxa"/>
              <w:right w:w="70" w:type="dxa"/>
            </w:tcMar>
            <w:vAlign w:val="center"/>
          </w:tcPr>
          <w:p w14:paraId="0CB4A59B">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技术要求（以项目实际情况为依据制定）</w:t>
            </w:r>
          </w:p>
        </w:tc>
      </w:tr>
      <w:tr w14:paraId="6D15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4979677E">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1872" w:type="pct"/>
            <w:gridSpan w:val="2"/>
            <w:shd w:val="clear" w:color="auto" w:fill="auto"/>
            <w:tcMar>
              <w:top w:w="0" w:type="dxa"/>
              <w:left w:w="70" w:type="dxa"/>
              <w:bottom w:w="0" w:type="dxa"/>
              <w:right w:w="70" w:type="dxa"/>
            </w:tcMar>
            <w:vAlign w:val="center"/>
          </w:tcPr>
          <w:p w14:paraId="5975AC55">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PH</w:t>
            </w:r>
          </w:p>
        </w:tc>
        <w:tc>
          <w:tcPr>
            <w:tcW w:w="2318" w:type="pct"/>
            <w:shd w:val="clear" w:color="auto" w:fill="auto"/>
            <w:tcMar>
              <w:top w:w="0" w:type="dxa"/>
              <w:left w:w="70" w:type="dxa"/>
              <w:bottom w:w="0" w:type="dxa"/>
              <w:right w:w="70" w:type="dxa"/>
            </w:tcMar>
            <w:vAlign w:val="center"/>
          </w:tcPr>
          <w:p w14:paraId="0E6765A9">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6.0-8.0</w:t>
            </w:r>
          </w:p>
        </w:tc>
      </w:tr>
      <w:tr w14:paraId="26C6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1" w:hRule="atLeast"/>
          <w:tblCellSpacing w:w="15" w:type="dxa"/>
        </w:trPr>
        <w:tc>
          <w:tcPr>
            <w:tcW w:w="746" w:type="pct"/>
            <w:vMerge w:val="restart"/>
            <w:shd w:val="clear" w:color="auto" w:fill="auto"/>
            <w:tcMar>
              <w:top w:w="0" w:type="dxa"/>
              <w:left w:w="70" w:type="dxa"/>
              <w:bottom w:w="0" w:type="dxa"/>
              <w:right w:w="70" w:type="dxa"/>
            </w:tcMar>
            <w:vAlign w:val="center"/>
          </w:tcPr>
          <w:p w14:paraId="2A183E9C">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02</w:t>
            </w:r>
          </w:p>
        </w:tc>
        <w:tc>
          <w:tcPr>
            <w:tcW w:w="293" w:type="pct"/>
            <w:vMerge w:val="restart"/>
            <w:shd w:val="clear" w:color="auto" w:fill="auto"/>
            <w:tcMar>
              <w:top w:w="0" w:type="dxa"/>
              <w:left w:w="70" w:type="dxa"/>
              <w:bottom w:w="0" w:type="dxa"/>
              <w:right w:w="70" w:type="dxa"/>
            </w:tcMar>
            <w:vAlign w:val="center"/>
          </w:tcPr>
          <w:p w14:paraId="5FD2786E">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w:t>
            </w:r>
          </w:p>
          <w:p w14:paraId="56596AF7">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w:t>
            </w:r>
          </w:p>
        </w:tc>
        <w:tc>
          <w:tcPr>
            <w:tcW w:w="1563" w:type="pct"/>
            <w:shd w:val="clear" w:color="auto" w:fill="auto"/>
            <w:tcMar>
              <w:top w:w="0" w:type="dxa"/>
              <w:left w:w="70" w:type="dxa"/>
              <w:bottom w:w="0" w:type="dxa"/>
              <w:right w:w="70" w:type="dxa"/>
            </w:tcMar>
            <w:vAlign w:val="center"/>
          </w:tcPr>
          <w:p w14:paraId="5B620EC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砂粒（含粗砂粒和细砂粒）（%）</w:t>
            </w:r>
          </w:p>
        </w:tc>
        <w:tc>
          <w:tcPr>
            <w:tcW w:w="2318" w:type="pct"/>
            <w:shd w:val="clear" w:color="auto" w:fill="auto"/>
            <w:tcMar>
              <w:top w:w="0" w:type="dxa"/>
              <w:left w:w="70" w:type="dxa"/>
              <w:bottom w:w="0" w:type="dxa"/>
              <w:right w:w="70" w:type="dxa"/>
            </w:tcMar>
            <w:vAlign w:val="center"/>
          </w:tcPr>
          <w:p w14:paraId="326921C8">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40-55</w:t>
            </w:r>
          </w:p>
        </w:tc>
      </w:tr>
      <w:tr w14:paraId="21FD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 w:hRule="atLeast"/>
          <w:tblCellSpacing w:w="15" w:type="dxa"/>
        </w:trPr>
        <w:tc>
          <w:tcPr>
            <w:tcW w:w="746" w:type="pct"/>
            <w:vMerge w:val="continue"/>
            <w:shd w:val="clear" w:color="auto" w:fill="auto"/>
            <w:tcMar>
              <w:top w:w="0" w:type="dxa"/>
              <w:left w:w="70" w:type="dxa"/>
              <w:bottom w:w="0" w:type="dxa"/>
              <w:right w:w="70" w:type="dxa"/>
            </w:tcMar>
            <w:vAlign w:val="center"/>
          </w:tcPr>
          <w:p w14:paraId="7C17D842">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p>
        </w:tc>
        <w:tc>
          <w:tcPr>
            <w:tcW w:w="293" w:type="pct"/>
            <w:vMerge w:val="continue"/>
            <w:shd w:val="clear" w:color="auto" w:fill="auto"/>
            <w:tcMar>
              <w:top w:w="0" w:type="dxa"/>
              <w:left w:w="70" w:type="dxa"/>
              <w:bottom w:w="0" w:type="dxa"/>
              <w:right w:w="70" w:type="dxa"/>
            </w:tcMar>
            <w:vAlign w:val="center"/>
          </w:tcPr>
          <w:p w14:paraId="0F27677A">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p>
        </w:tc>
        <w:tc>
          <w:tcPr>
            <w:tcW w:w="1563" w:type="pct"/>
            <w:shd w:val="clear" w:color="auto" w:fill="auto"/>
            <w:tcMar>
              <w:top w:w="0" w:type="dxa"/>
              <w:left w:w="70" w:type="dxa"/>
              <w:bottom w:w="0" w:type="dxa"/>
              <w:right w:w="70" w:type="dxa"/>
            </w:tcMar>
            <w:vAlign w:val="center"/>
          </w:tcPr>
          <w:p w14:paraId="57E24D44">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粉（砂）粒（%）</w:t>
            </w:r>
          </w:p>
        </w:tc>
        <w:tc>
          <w:tcPr>
            <w:tcW w:w="2318" w:type="pct"/>
            <w:shd w:val="clear" w:color="auto" w:fill="auto"/>
            <w:tcMar>
              <w:top w:w="0" w:type="dxa"/>
              <w:left w:w="70" w:type="dxa"/>
              <w:bottom w:w="0" w:type="dxa"/>
              <w:right w:w="70" w:type="dxa"/>
            </w:tcMar>
            <w:vAlign w:val="center"/>
          </w:tcPr>
          <w:p w14:paraId="04A227C1">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35-45</w:t>
            </w:r>
          </w:p>
        </w:tc>
      </w:tr>
      <w:tr w14:paraId="4116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 w:hRule="atLeast"/>
          <w:tblCellSpacing w:w="15" w:type="dxa"/>
        </w:trPr>
        <w:tc>
          <w:tcPr>
            <w:tcW w:w="746" w:type="pct"/>
            <w:vMerge w:val="continue"/>
            <w:shd w:val="clear" w:color="auto" w:fill="auto"/>
            <w:tcMar>
              <w:top w:w="0" w:type="dxa"/>
              <w:left w:w="70" w:type="dxa"/>
              <w:bottom w:w="0" w:type="dxa"/>
              <w:right w:w="70" w:type="dxa"/>
            </w:tcMar>
            <w:vAlign w:val="center"/>
          </w:tcPr>
          <w:p w14:paraId="01B23BBA">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p>
        </w:tc>
        <w:tc>
          <w:tcPr>
            <w:tcW w:w="293" w:type="pct"/>
            <w:vMerge w:val="continue"/>
            <w:shd w:val="clear" w:color="auto" w:fill="auto"/>
            <w:tcMar>
              <w:top w:w="0" w:type="dxa"/>
              <w:left w:w="70" w:type="dxa"/>
              <w:bottom w:w="0" w:type="dxa"/>
              <w:right w:w="70" w:type="dxa"/>
            </w:tcMar>
            <w:vAlign w:val="center"/>
          </w:tcPr>
          <w:p w14:paraId="13C6C2B8">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p>
        </w:tc>
        <w:tc>
          <w:tcPr>
            <w:tcW w:w="1563" w:type="pct"/>
            <w:shd w:val="clear" w:color="auto" w:fill="auto"/>
            <w:tcMar>
              <w:top w:w="0" w:type="dxa"/>
              <w:left w:w="70" w:type="dxa"/>
              <w:bottom w:w="0" w:type="dxa"/>
              <w:right w:w="70" w:type="dxa"/>
            </w:tcMar>
            <w:vAlign w:val="center"/>
          </w:tcPr>
          <w:p w14:paraId="31601A16">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粘粒（%）</w:t>
            </w:r>
          </w:p>
        </w:tc>
        <w:tc>
          <w:tcPr>
            <w:tcW w:w="2318" w:type="pct"/>
            <w:shd w:val="clear" w:color="auto" w:fill="auto"/>
            <w:tcMar>
              <w:top w:w="0" w:type="dxa"/>
              <w:left w:w="70" w:type="dxa"/>
              <w:bottom w:w="0" w:type="dxa"/>
              <w:right w:w="70" w:type="dxa"/>
            </w:tcMar>
            <w:vAlign w:val="center"/>
          </w:tcPr>
          <w:p w14:paraId="7EF3C170">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0-15</w:t>
            </w:r>
          </w:p>
        </w:tc>
      </w:tr>
      <w:tr w14:paraId="3E0C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2C3B84A3">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03</w:t>
            </w:r>
          </w:p>
        </w:tc>
        <w:tc>
          <w:tcPr>
            <w:tcW w:w="1872" w:type="pct"/>
            <w:gridSpan w:val="2"/>
            <w:shd w:val="clear" w:color="auto" w:fill="auto"/>
            <w:tcMar>
              <w:top w:w="0" w:type="dxa"/>
              <w:left w:w="70" w:type="dxa"/>
              <w:bottom w:w="0" w:type="dxa"/>
              <w:right w:w="70" w:type="dxa"/>
            </w:tcMar>
            <w:vAlign w:val="center"/>
          </w:tcPr>
          <w:p w14:paraId="5B202835">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土壤入渗率/(mm/h)</w:t>
            </w:r>
          </w:p>
        </w:tc>
        <w:tc>
          <w:tcPr>
            <w:tcW w:w="2318" w:type="pct"/>
            <w:shd w:val="clear" w:color="auto" w:fill="auto"/>
            <w:tcMar>
              <w:top w:w="0" w:type="dxa"/>
              <w:left w:w="70" w:type="dxa"/>
              <w:bottom w:w="0" w:type="dxa"/>
              <w:right w:w="70" w:type="dxa"/>
            </w:tcMar>
            <w:vAlign w:val="center"/>
          </w:tcPr>
          <w:p w14:paraId="178DB08D">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02A5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1E59E56E">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w:t>
            </w:r>
          </w:p>
        </w:tc>
        <w:tc>
          <w:tcPr>
            <w:tcW w:w="1872" w:type="pct"/>
            <w:gridSpan w:val="2"/>
            <w:shd w:val="clear" w:color="auto" w:fill="auto"/>
            <w:tcMar>
              <w:top w:w="0" w:type="dxa"/>
              <w:left w:w="70" w:type="dxa"/>
              <w:bottom w:w="0" w:type="dxa"/>
              <w:right w:w="70" w:type="dxa"/>
            </w:tcMar>
            <w:vAlign w:val="center"/>
          </w:tcPr>
          <w:p w14:paraId="5F50D2D6">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有机质／（g/ kg)</w:t>
            </w:r>
          </w:p>
        </w:tc>
        <w:tc>
          <w:tcPr>
            <w:tcW w:w="2318" w:type="pct"/>
            <w:shd w:val="clear" w:color="auto" w:fill="auto"/>
            <w:tcMar>
              <w:top w:w="0" w:type="dxa"/>
              <w:left w:w="70" w:type="dxa"/>
              <w:bottom w:w="0" w:type="dxa"/>
              <w:right w:w="70" w:type="dxa"/>
            </w:tcMar>
            <w:vAlign w:val="center"/>
          </w:tcPr>
          <w:p w14:paraId="2E031DBD">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40-80</w:t>
            </w:r>
          </w:p>
        </w:tc>
      </w:tr>
      <w:tr w14:paraId="17A0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3F11CE22">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872" w:type="pct"/>
            <w:gridSpan w:val="2"/>
            <w:shd w:val="clear" w:color="auto" w:fill="auto"/>
            <w:tcMar>
              <w:top w:w="0" w:type="dxa"/>
              <w:left w:w="70" w:type="dxa"/>
              <w:bottom w:w="0" w:type="dxa"/>
              <w:right w:w="70" w:type="dxa"/>
            </w:tcMar>
            <w:vAlign w:val="center"/>
          </w:tcPr>
          <w:p w14:paraId="16EA6A9C">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水解性氮（N) /( mg/kg)</w:t>
            </w:r>
          </w:p>
        </w:tc>
        <w:tc>
          <w:tcPr>
            <w:tcW w:w="2318" w:type="pct"/>
            <w:shd w:val="clear" w:color="auto" w:fill="auto"/>
            <w:tcMar>
              <w:top w:w="0" w:type="dxa"/>
              <w:left w:w="70" w:type="dxa"/>
              <w:bottom w:w="0" w:type="dxa"/>
              <w:right w:w="70" w:type="dxa"/>
            </w:tcMar>
            <w:vAlign w:val="center"/>
          </w:tcPr>
          <w:p w14:paraId="2C5C4F9C">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100-200</w:t>
            </w:r>
          </w:p>
        </w:tc>
      </w:tr>
      <w:tr w14:paraId="79F4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063F5ADB">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06</w:t>
            </w:r>
          </w:p>
        </w:tc>
        <w:tc>
          <w:tcPr>
            <w:tcW w:w="1872" w:type="pct"/>
            <w:gridSpan w:val="2"/>
            <w:shd w:val="clear" w:color="auto" w:fill="auto"/>
            <w:tcMar>
              <w:top w:w="0" w:type="dxa"/>
              <w:left w:w="70" w:type="dxa"/>
              <w:bottom w:w="0" w:type="dxa"/>
              <w:right w:w="70" w:type="dxa"/>
            </w:tcMar>
            <w:vAlign w:val="center"/>
          </w:tcPr>
          <w:p w14:paraId="2BD00121">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有效磷（P)/( mg/ kg)</w:t>
            </w:r>
          </w:p>
        </w:tc>
        <w:tc>
          <w:tcPr>
            <w:tcW w:w="2318" w:type="pct"/>
            <w:shd w:val="clear" w:color="auto" w:fill="auto"/>
            <w:tcMar>
              <w:top w:w="0" w:type="dxa"/>
              <w:left w:w="70" w:type="dxa"/>
              <w:bottom w:w="0" w:type="dxa"/>
              <w:right w:w="70" w:type="dxa"/>
            </w:tcMar>
            <w:vAlign w:val="center"/>
          </w:tcPr>
          <w:p w14:paraId="2678D712">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30-60</w:t>
            </w:r>
          </w:p>
        </w:tc>
      </w:tr>
      <w:tr w14:paraId="67A0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46" w:type="pct"/>
            <w:shd w:val="clear" w:color="auto" w:fill="auto"/>
            <w:tcMar>
              <w:top w:w="0" w:type="dxa"/>
              <w:left w:w="70" w:type="dxa"/>
              <w:bottom w:w="0" w:type="dxa"/>
              <w:right w:w="70" w:type="dxa"/>
            </w:tcMar>
            <w:vAlign w:val="center"/>
          </w:tcPr>
          <w:p w14:paraId="09A0E228">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07</w:t>
            </w:r>
          </w:p>
        </w:tc>
        <w:tc>
          <w:tcPr>
            <w:tcW w:w="1872" w:type="pct"/>
            <w:gridSpan w:val="2"/>
            <w:shd w:val="clear" w:color="auto" w:fill="auto"/>
            <w:tcMar>
              <w:top w:w="0" w:type="dxa"/>
              <w:left w:w="70" w:type="dxa"/>
              <w:bottom w:w="0" w:type="dxa"/>
              <w:right w:w="70" w:type="dxa"/>
            </w:tcMar>
            <w:vAlign w:val="center"/>
          </w:tcPr>
          <w:p w14:paraId="6C51AD06">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速效钾（K)/( mg/kg)</w:t>
            </w:r>
          </w:p>
        </w:tc>
        <w:tc>
          <w:tcPr>
            <w:tcW w:w="2318" w:type="pct"/>
            <w:shd w:val="clear" w:color="auto" w:fill="auto"/>
            <w:tcMar>
              <w:top w:w="0" w:type="dxa"/>
              <w:left w:w="70" w:type="dxa"/>
              <w:bottom w:w="0" w:type="dxa"/>
              <w:right w:w="70" w:type="dxa"/>
            </w:tcMar>
            <w:vAlign w:val="center"/>
          </w:tcPr>
          <w:p w14:paraId="28E82BEE">
            <w:pPr>
              <w:pStyle w:val="12"/>
              <w:keepNext w:val="0"/>
              <w:keepLines w:val="0"/>
              <w:pageBreakBefore w:val="0"/>
              <w:widowControl/>
              <w:suppressLineNumbers w:val="0"/>
              <w:kinsoku/>
              <w:overflowPunct/>
              <w:topLinePunct w:val="0"/>
              <w:autoSpaceDE/>
              <w:autoSpaceDN/>
              <w:bidi w:val="0"/>
              <w:spacing w:beforeAutospacing="0" w:afterAutospacing="0" w:line="36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150-300</w:t>
            </w:r>
          </w:p>
        </w:tc>
      </w:tr>
    </w:tbl>
    <w:p w14:paraId="10FF97D8">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注：参数标准以CJ/T340-2016《绿化种植土壤》为依据。</w:t>
      </w:r>
    </w:p>
    <w:p w14:paraId="46406B92">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410" w:firstLineChars="171"/>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②由于本项目对草花播种要求较高，中标人入场后必须马上开展相关工作，为确保中标人能顺利接手草花播种工作，要求投标人必须对项目概况，特别是土壤情况有较深入了解，故投标人</w:t>
      </w:r>
      <w:r>
        <w:rPr>
          <w:rFonts w:hint="eastAsia" w:ascii="宋体" w:hAnsi="宋体" w:eastAsia="宋体" w:cs="宋体"/>
          <w:color w:val="auto"/>
          <w:sz w:val="24"/>
          <w:szCs w:val="24"/>
          <w:lang w:val="en-US" w:eastAsia="zh-CN"/>
        </w:rPr>
        <w:t>中标后需对土壤进行改良，且</w:t>
      </w:r>
      <w:r>
        <w:rPr>
          <w:rFonts w:hint="eastAsia" w:ascii="宋体" w:hAnsi="宋体" w:eastAsia="宋体" w:cs="宋体"/>
          <w:color w:val="auto"/>
          <w:sz w:val="24"/>
          <w:szCs w:val="24"/>
        </w:rPr>
        <w:t>中标人入场后每次进场土壤不允许有明显的颗粒，并须以此参数标准执行，若参数不达标应限期整改至达标为止，过程抽检检测费用由中标人承担</w:t>
      </w:r>
      <w:r>
        <w:rPr>
          <w:rFonts w:hint="eastAsia" w:ascii="宋体" w:hAnsi="宋体" w:eastAsia="宋体" w:cs="宋体"/>
          <w:color w:val="auto"/>
          <w:sz w:val="24"/>
          <w:szCs w:val="24"/>
          <w:lang w:eastAsia="zh-CN"/>
        </w:rPr>
        <w:t>。</w:t>
      </w:r>
    </w:p>
    <w:p w14:paraId="506B4C31">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3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③土壤改良根据计划实施，付款期次为第4、8、12期时进行花田土壤改良考核，改良工作未实施则扣除该期次内20万元经费由采购人进行改良工作，若改良结果不达标或改良方量不足，则按比例扣除相应费用。</w:t>
      </w:r>
    </w:p>
    <w:p w14:paraId="7B0BE01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3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Style w:val="18"/>
          <w:rFonts w:hint="eastAsia" w:ascii="宋体" w:hAnsi="宋体" w:eastAsia="宋体" w:cs="宋体"/>
          <w:color w:val="auto"/>
          <w:sz w:val="24"/>
          <w:szCs w:val="24"/>
        </w:rPr>
        <w:t>（八）其他要求</w:t>
      </w:r>
    </w:p>
    <w:p w14:paraId="27003ABA">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2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花海公园</w:t>
      </w:r>
      <w:r>
        <w:rPr>
          <w:rFonts w:hint="eastAsia" w:ascii="宋体" w:hAnsi="宋体" w:eastAsia="宋体" w:cs="宋体"/>
          <w:color w:val="auto"/>
          <w:sz w:val="24"/>
          <w:szCs w:val="24"/>
        </w:rPr>
        <w:t>日常绿化养护：原合同服务期至202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年7月1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日到期，由于本项目招标工作流程的原因，开标时间和中标人入场时间尚未确定，为保障公园日常维护服务工作不断档，自202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年7月1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日至本次中标人入场之日止，为项目过渡期。过渡期内的日常绿化养护服务仍由上一轮中标人提供，过渡期</w:t>
      </w:r>
      <w:r>
        <w:rPr>
          <w:rFonts w:hint="eastAsia" w:ascii="宋体" w:hAnsi="宋体" w:eastAsia="宋体" w:cs="宋体"/>
          <w:color w:val="auto"/>
          <w:sz w:val="24"/>
          <w:szCs w:val="24"/>
          <w:lang w:val="en-US" w:eastAsia="zh-CN"/>
        </w:rPr>
        <w:t>养护费用</w:t>
      </w:r>
      <w:r>
        <w:rPr>
          <w:rFonts w:hint="eastAsia" w:ascii="宋体" w:hAnsi="宋体" w:cs="宋体"/>
          <w:color w:val="auto"/>
          <w:sz w:val="24"/>
          <w:szCs w:val="24"/>
          <w:lang w:val="en-US" w:eastAsia="zh-CN"/>
        </w:rPr>
        <w:t>不高于</w:t>
      </w:r>
      <w:r>
        <w:rPr>
          <w:rFonts w:hint="eastAsia" w:ascii="宋体" w:hAnsi="宋体" w:eastAsia="宋体" w:cs="宋体"/>
          <w:color w:val="auto"/>
          <w:sz w:val="24"/>
          <w:szCs w:val="24"/>
          <w:lang w:val="en-US" w:eastAsia="zh-CN"/>
        </w:rPr>
        <w:t>上一轮日常绿化养护</w:t>
      </w:r>
      <w:r>
        <w:rPr>
          <w:rFonts w:hint="eastAsia" w:ascii="宋体" w:hAnsi="宋体" w:cs="宋体"/>
          <w:color w:val="auto"/>
          <w:sz w:val="24"/>
          <w:szCs w:val="24"/>
          <w:lang w:val="en-US" w:eastAsia="zh-CN"/>
        </w:rPr>
        <w:t>费</w:t>
      </w:r>
      <w:r>
        <w:rPr>
          <w:rFonts w:hint="eastAsia" w:ascii="宋体" w:hAnsi="宋体" w:eastAsia="宋体" w:cs="宋体"/>
          <w:color w:val="auto"/>
          <w:sz w:val="24"/>
          <w:szCs w:val="24"/>
          <w:lang w:val="en-US" w:eastAsia="zh-CN"/>
        </w:rPr>
        <w:t>（若高于新中标价则以新中标价计算）。</w:t>
      </w:r>
      <w:r>
        <w:rPr>
          <w:rFonts w:hint="eastAsia" w:ascii="宋体" w:hAnsi="宋体" w:cs="宋体"/>
          <w:color w:val="auto"/>
          <w:sz w:val="24"/>
          <w:szCs w:val="24"/>
          <w:lang w:val="en-US" w:eastAsia="zh-CN"/>
        </w:rPr>
        <w:t>采</w:t>
      </w:r>
      <w:r>
        <w:rPr>
          <w:rFonts w:hint="eastAsia" w:ascii="宋体" w:hAnsi="宋体" w:eastAsia="宋体" w:cs="宋体"/>
          <w:color w:val="auto"/>
          <w:sz w:val="24"/>
          <w:szCs w:val="24"/>
          <w:lang w:val="en-US" w:eastAsia="zh-CN"/>
        </w:rPr>
        <w:t>购人</w:t>
      </w:r>
      <w:r>
        <w:rPr>
          <w:rFonts w:hint="eastAsia" w:ascii="宋体" w:hAnsi="宋体" w:eastAsia="宋体" w:cs="宋体"/>
          <w:color w:val="auto"/>
          <w:sz w:val="24"/>
          <w:szCs w:val="24"/>
        </w:rPr>
        <w:t>在确认中标人并入场后将代为完成的</w:t>
      </w:r>
      <w:r>
        <w:rPr>
          <w:rFonts w:hint="eastAsia" w:ascii="宋体" w:hAnsi="宋体" w:eastAsia="宋体" w:cs="宋体"/>
          <w:color w:val="auto"/>
          <w:sz w:val="24"/>
          <w:szCs w:val="24"/>
          <w:lang w:val="en-US" w:eastAsia="zh-CN"/>
        </w:rPr>
        <w:t>日常绿化</w:t>
      </w:r>
      <w:r>
        <w:rPr>
          <w:rFonts w:hint="eastAsia" w:ascii="宋体" w:hAnsi="宋体" w:eastAsia="宋体" w:cs="宋体"/>
          <w:color w:val="auto"/>
          <w:sz w:val="24"/>
          <w:szCs w:val="24"/>
        </w:rPr>
        <w:t>养护作业工程量，委托具有审核资质的单位进行审核，审核工作费用由中标人按实支付。</w:t>
      </w:r>
      <w:r>
        <w:rPr>
          <w:rFonts w:hint="eastAsia" w:ascii="宋体" w:hAnsi="宋体" w:eastAsia="宋体" w:cs="宋体"/>
          <w:color w:val="auto"/>
          <w:sz w:val="24"/>
          <w:szCs w:val="24"/>
          <w:lang w:val="en-US" w:eastAsia="zh-CN"/>
        </w:rPr>
        <w:t>中标人就审核后施工费向采购人提出书面申请，采购人按实核拨，中标人</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lang w:val="en-US" w:eastAsia="zh-CN"/>
        </w:rPr>
        <w:t>按实支付</w:t>
      </w:r>
      <w:r>
        <w:rPr>
          <w:rFonts w:hint="eastAsia" w:ascii="宋体" w:hAnsi="宋体" w:eastAsia="宋体" w:cs="宋体"/>
          <w:color w:val="auto"/>
          <w:sz w:val="24"/>
          <w:szCs w:val="24"/>
        </w:rPr>
        <w:t>给过渡期服务</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以上内容中标人应承诺无条件配合。</w:t>
      </w:r>
      <w:r>
        <w:rPr>
          <w:rFonts w:hint="eastAsia" w:ascii="宋体" w:hAnsi="宋体" w:eastAsia="宋体" w:cs="宋体"/>
          <w:b/>
          <w:bCs/>
          <w:color w:val="auto"/>
          <w:sz w:val="24"/>
          <w:szCs w:val="24"/>
          <w:lang w:val="en-US" w:eastAsia="zh-CN"/>
        </w:rPr>
        <w:t>注：</w:t>
      </w:r>
      <w:r>
        <w:rPr>
          <w:rFonts w:hint="eastAsia" w:ascii="宋体" w:hAnsi="宋体" w:cs="宋体"/>
          <w:b/>
          <w:bCs/>
          <w:color w:val="auto"/>
          <w:sz w:val="24"/>
          <w:szCs w:val="24"/>
          <w:lang w:val="en-US" w:eastAsia="zh-CN"/>
        </w:rPr>
        <w:t>投标人</w:t>
      </w:r>
      <w:r>
        <w:rPr>
          <w:rStyle w:val="18"/>
          <w:rFonts w:hint="eastAsia" w:ascii="宋体" w:hAnsi="宋体" w:eastAsia="宋体" w:cs="宋体"/>
          <w:color w:val="auto"/>
          <w:sz w:val="24"/>
          <w:szCs w:val="24"/>
        </w:rPr>
        <w:t>须提供专项承诺函，</w:t>
      </w:r>
      <w:r>
        <w:rPr>
          <w:rStyle w:val="18"/>
          <w:rFonts w:hint="eastAsia" w:ascii="宋体" w:hAnsi="宋体" w:cs="宋体"/>
          <w:color w:val="auto"/>
          <w:sz w:val="24"/>
          <w:szCs w:val="24"/>
          <w:lang w:eastAsia="zh-CN"/>
        </w:rPr>
        <w:t>否则按无效投标处理</w:t>
      </w:r>
      <w:r>
        <w:rPr>
          <w:rStyle w:val="18"/>
          <w:rFonts w:hint="eastAsia" w:ascii="宋体" w:hAnsi="宋体" w:eastAsia="宋体" w:cs="宋体"/>
          <w:color w:val="auto"/>
          <w:sz w:val="24"/>
          <w:szCs w:val="24"/>
        </w:rPr>
        <w:t>。</w:t>
      </w:r>
    </w:p>
    <w:p w14:paraId="5407F664">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280"/>
        <w:jc w:val="left"/>
        <w:textAlignment w:val="auto"/>
        <w:rPr>
          <w:rStyle w:val="18"/>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花海公园</w:t>
      </w:r>
      <w:r>
        <w:rPr>
          <w:rFonts w:hint="eastAsia" w:ascii="宋体" w:hAnsi="宋体" w:eastAsia="宋体" w:cs="宋体"/>
          <w:color w:val="auto"/>
          <w:sz w:val="24"/>
          <w:szCs w:val="24"/>
        </w:rPr>
        <w:t>草花播种养护：由于本项目草花播种养护内容部分，具有时间节点强、任务周期紧的特点，为确保草花花期按计划时间到达，因此草花播种相关作业应严格按时间计划进行。由于本项目招标工作流程的原因，开标时间和中标</w:t>
      </w:r>
      <w:r>
        <w:rPr>
          <w:rFonts w:hint="default" w:ascii="宋体" w:hAnsi="宋体" w:eastAsia="宋体" w:cs="宋体"/>
          <w:color w:val="auto"/>
          <w:sz w:val="24"/>
          <w:szCs w:val="24"/>
          <w:lang w:val="en-US"/>
        </w:rPr>
        <w:t>者中标后</w:t>
      </w:r>
      <w:r>
        <w:rPr>
          <w:rFonts w:hint="eastAsia" w:ascii="宋体" w:hAnsi="宋体" w:eastAsia="宋体" w:cs="宋体"/>
          <w:color w:val="auto"/>
          <w:sz w:val="24"/>
          <w:szCs w:val="24"/>
        </w:rPr>
        <w:t>入场时间尚未确定，为不影响草花花期，采购人在必要的时候，可先将草花播种的工作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至一茬草花工作结束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代为委托</w:t>
      </w:r>
      <w:r>
        <w:rPr>
          <w:rFonts w:hint="eastAsia" w:ascii="宋体" w:hAnsi="宋体" w:eastAsia="宋体" w:cs="宋体"/>
          <w:color w:val="auto"/>
          <w:sz w:val="24"/>
          <w:szCs w:val="24"/>
          <w:lang w:val="en-US" w:eastAsia="zh-CN"/>
        </w:rPr>
        <w:t>上一轮中标</w:t>
      </w:r>
      <w:r>
        <w:rPr>
          <w:rFonts w:hint="default" w:ascii="宋体" w:hAnsi="宋体" w:eastAsia="宋体" w:cs="宋体"/>
          <w:color w:val="auto"/>
          <w:sz w:val="24"/>
          <w:szCs w:val="24"/>
          <w:lang w:val="en-US" w:eastAsia="zh-CN"/>
        </w:rPr>
        <w:t>方</w:t>
      </w:r>
      <w:r>
        <w:rPr>
          <w:rFonts w:hint="eastAsia" w:ascii="宋体" w:hAnsi="宋体" w:eastAsia="宋体" w:cs="宋体"/>
          <w:color w:val="auto"/>
          <w:sz w:val="24"/>
          <w:szCs w:val="24"/>
        </w:rPr>
        <w:t>先行施工，过渡期</w:t>
      </w:r>
      <w:r>
        <w:rPr>
          <w:rFonts w:hint="eastAsia" w:ascii="宋体" w:hAnsi="宋体" w:cs="宋体"/>
          <w:color w:val="auto"/>
          <w:sz w:val="24"/>
          <w:szCs w:val="24"/>
          <w:lang w:val="en-US" w:eastAsia="zh-CN"/>
        </w:rPr>
        <w:t>草花播种养护</w:t>
      </w:r>
      <w:r>
        <w:rPr>
          <w:rFonts w:hint="eastAsia" w:ascii="宋体" w:hAnsi="宋体" w:eastAsia="宋体" w:cs="宋体"/>
          <w:color w:val="auto"/>
          <w:sz w:val="24"/>
          <w:szCs w:val="24"/>
          <w:lang w:val="en-US" w:eastAsia="zh-CN"/>
        </w:rPr>
        <w:t>费用</w:t>
      </w:r>
      <w:r>
        <w:rPr>
          <w:rFonts w:hint="eastAsia" w:ascii="宋体" w:hAnsi="宋体" w:cs="宋体"/>
          <w:color w:val="auto"/>
          <w:sz w:val="24"/>
          <w:szCs w:val="24"/>
          <w:lang w:val="en-US" w:eastAsia="zh-CN"/>
        </w:rPr>
        <w:t>不高于</w:t>
      </w:r>
      <w:r>
        <w:rPr>
          <w:rFonts w:hint="eastAsia" w:ascii="宋体" w:hAnsi="宋体" w:eastAsia="宋体" w:cs="宋体"/>
          <w:color w:val="auto"/>
          <w:sz w:val="24"/>
          <w:szCs w:val="24"/>
          <w:lang w:val="en-US" w:eastAsia="zh-CN"/>
        </w:rPr>
        <w:t>上一轮</w:t>
      </w:r>
      <w:r>
        <w:rPr>
          <w:rFonts w:hint="eastAsia" w:ascii="宋体" w:hAnsi="宋体" w:cs="宋体"/>
          <w:color w:val="auto"/>
          <w:sz w:val="24"/>
          <w:szCs w:val="24"/>
          <w:lang w:val="en-US" w:eastAsia="zh-CN"/>
        </w:rPr>
        <w:t>草花播种养护费用</w:t>
      </w:r>
      <w:r>
        <w:rPr>
          <w:rFonts w:hint="eastAsia" w:ascii="宋体" w:hAnsi="宋体" w:eastAsia="宋体" w:cs="宋体"/>
          <w:color w:val="auto"/>
          <w:sz w:val="24"/>
          <w:szCs w:val="24"/>
          <w:lang w:val="en-US" w:eastAsia="zh-CN"/>
        </w:rPr>
        <w:t>（若高于新中标价则以新中标价计算）。采购人</w:t>
      </w:r>
      <w:r>
        <w:rPr>
          <w:rFonts w:hint="eastAsia" w:ascii="宋体" w:hAnsi="宋体" w:eastAsia="宋体" w:cs="宋体"/>
          <w:color w:val="auto"/>
          <w:sz w:val="24"/>
          <w:szCs w:val="24"/>
        </w:rPr>
        <w:t>在确认中标人并入场后将代为完成的草花播种及养护作业工程量，委托具有审核资质的单位进行审核，审核工作费用由中标人按实支付。</w:t>
      </w:r>
      <w:r>
        <w:rPr>
          <w:rFonts w:hint="eastAsia" w:ascii="宋体" w:hAnsi="宋体" w:eastAsia="宋体" w:cs="宋体"/>
          <w:color w:val="auto"/>
          <w:sz w:val="24"/>
          <w:szCs w:val="24"/>
          <w:lang w:val="en-US" w:eastAsia="zh-CN"/>
        </w:rPr>
        <w:t>中标人就审核后施工费向采购人提出书面申请，采购人按实核拨，中标人</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lang w:val="en-US" w:eastAsia="zh-CN"/>
        </w:rPr>
        <w:t>按实支付</w:t>
      </w:r>
      <w:r>
        <w:rPr>
          <w:rFonts w:hint="eastAsia" w:ascii="宋体" w:hAnsi="宋体" w:eastAsia="宋体" w:cs="宋体"/>
          <w:color w:val="auto"/>
          <w:sz w:val="24"/>
          <w:szCs w:val="24"/>
        </w:rPr>
        <w:t>给过渡期服务</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以上内容中标人应承诺无条件配合。</w:t>
      </w:r>
      <w:r>
        <w:rPr>
          <w:rFonts w:hint="eastAsia" w:ascii="宋体" w:hAnsi="宋体" w:eastAsia="宋体" w:cs="宋体"/>
          <w:b/>
          <w:bCs/>
          <w:color w:val="auto"/>
          <w:sz w:val="24"/>
          <w:szCs w:val="24"/>
          <w:lang w:val="en-US" w:eastAsia="zh-CN"/>
        </w:rPr>
        <w:t>注：</w:t>
      </w:r>
      <w:r>
        <w:rPr>
          <w:rFonts w:hint="eastAsia" w:ascii="宋体" w:hAnsi="宋体" w:cs="宋体"/>
          <w:b/>
          <w:bCs/>
          <w:color w:val="auto"/>
          <w:sz w:val="24"/>
          <w:szCs w:val="24"/>
          <w:lang w:val="en-US" w:eastAsia="zh-CN"/>
        </w:rPr>
        <w:t>投标人</w:t>
      </w:r>
      <w:r>
        <w:rPr>
          <w:rStyle w:val="18"/>
          <w:rFonts w:hint="eastAsia" w:ascii="宋体" w:hAnsi="宋体" w:eastAsia="宋体" w:cs="宋体"/>
          <w:color w:val="auto"/>
          <w:sz w:val="24"/>
          <w:szCs w:val="24"/>
        </w:rPr>
        <w:t>须提供专项承诺函，</w:t>
      </w:r>
      <w:r>
        <w:rPr>
          <w:rStyle w:val="18"/>
          <w:rFonts w:hint="eastAsia" w:ascii="宋体" w:hAnsi="宋体" w:cs="宋体"/>
          <w:color w:val="auto"/>
          <w:sz w:val="24"/>
          <w:szCs w:val="24"/>
          <w:lang w:eastAsia="zh-CN"/>
        </w:rPr>
        <w:t>否则按无效投标处理</w:t>
      </w:r>
      <w:r>
        <w:rPr>
          <w:rStyle w:val="18"/>
          <w:rFonts w:hint="eastAsia" w:ascii="宋体" w:hAnsi="宋体" w:eastAsia="宋体" w:cs="宋体"/>
          <w:color w:val="auto"/>
          <w:sz w:val="24"/>
          <w:szCs w:val="24"/>
        </w:rPr>
        <w:t>。</w:t>
      </w:r>
    </w:p>
    <w:p w14:paraId="06E3573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280"/>
        <w:jc w:val="left"/>
        <w:textAlignment w:val="auto"/>
        <w:rPr>
          <w:rStyle w:val="18"/>
          <w:rFonts w:hint="eastAsia" w:ascii="宋体" w:hAnsi="宋体" w:eastAsia="宋体" w:cs="宋体"/>
          <w:color w:val="auto"/>
          <w:sz w:val="24"/>
          <w:szCs w:val="24"/>
        </w:rPr>
      </w:pPr>
      <w:r>
        <w:rPr>
          <w:rStyle w:val="18"/>
          <w:rFonts w:hint="eastAsia" w:ascii="宋体" w:hAnsi="宋体" w:eastAsia="宋体" w:cs="宋体"/>
          <w:b w:val="0"/>
          <w:bCs/>
          <w:color w:val="auto"/>
          <w:sz w:val="24"/>
          <w:szCs w:val="24"/>
          <w:lang w:eastAsia="zh-CN"/>
        </w:rPr>
        <w:t>（</w:t>
      </w:r>
      <w:r>
        <w:rPr>
          <w:rStyle w:val="18"/>
          <w:rFonts w:hint="eastAsia" w:ascii="宋体" w:hAnsi="宋体" w:eastAsia="宋体" w:cs="宋体"/>
          <w:b w:val="0"/>
          <w:bCs/>
          <w:color w:val="auto"/>
          <w:sz w:val="24"/>
          <w:szCs w:val="24"/>
          <w:lang w:val="en-US" w:eastAsia="zh-CN"/>
        </w:rPr>
        <w:t>3</w:t>
      </w:r>
      <w:r>
        <w:rPr>
          <w:rStyle w:val="18"/>
          <w:rFonts w:hint="eastAsia" w:ascii="宋体" w:hAnsi="宋体" w:eastAsia="宋体" w:cs="宋体"/>
          <w:b w:val="0"/>
          <w:bCs/>
          <w:color w:val="auto"/>
          <w:sz w:val="24"/>
          <w:szCs w:val="24"/>
          <w:lang w:eastAsia="zh-CN"/>
        </w:rPr>
        <w:t>）环南台岛江滨休闲路（解放大桥至花海公园段）绿化养护工作，</w:t>
      </w:r>
      <w:r>
        <w:rPr>
          <w:rFonts w:hint="eastAsia" w:ascii="宋体" w:hAnsi="宋体" w:eastAsia="宋体" w:cs="宋体"/>
          <w:color w:val="auto"/>
          <w:sz w:val="24"/>
          <w:szCs w:val="24"/>
        </w:rPr>
        <w:t>原合同服务期至202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年7月1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日到期，由于本项目招标工作流程的原因，开标时间和中标人入场时间尚未确定，为保障公园日常维护服务工作不断档，自202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年7月1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日至本次中标人入场之日止，为项目过渡期。过渡期内的日常绿化养护服务仍由上一轮中标人提供，过渡期</w:t>
      </w:r>
      <w:r>
        <w:rPr>
          <w:rFonts w:hint="eastAsia" w:ascii="宋体" w:hAnsi="宋体" w:eastAsia="宋体" w:cs="宋体"/>
          <w:color w:val="auto"/>
          <w:sz w:val="24"/>
          <w:szCs w:val="24"/>
          <w:lang w:val="en-US" w:eastAsia="zh-CN"/>
        </w:rPr>
        <w:t>养护费用以上一轮日常绿化养护标准（若高于新中标价则以新中标价计算）按实际服务时间结算。中标人就过渡期绿化养护费用按实向采购人提出书面申请，采购人按实核拨，中标人</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lang w:val="en-US" w:eastAsia="zh-CN"/>
        </w:rPr>
        <w:t>按实支付</w:t>
      </w:r>
      <w:r>
        <w:rPr>
          <w:rFonts w:hint="eastAsia" w:ascii="宋体" w:hAnsi="宋体" w:eastAsia="宋体" w:cs="宋体"/>
          <w:color w:val="auto"/>
          <w:sz w:val="24"/>
          <w:szCs w:val="24"/>
        </w:rPr>
        <w:t>给过渡期服务</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以上内容中标人应承诺无条件配合。</w:t>
      </w:r>
      <w:r>
        <w:rPr>
          <w:rFonts w:hint="eastAsia" w:ascii="宋体" w:hAnsi="宋体" w:eastAsia="宋体" w:cs="宋体"/>
          <w:b/>
          <w:bCs/>
          <w:color w:val="auto"/>
          <w:sz w:val="24"/>
          <w:szCs w:val="24"/>
          <w:lang w:val="en-US" w:eastAsia="zh-CN"/>
        </w:rPr>
        <w:t>注：</w:t>
      </w:r>
      <w:r>
        <w:rPr>
          <w:rStyle w:val="18"/>
          <w:rFonts w:hint="eastAsia" w:ascii="宋体" w:hAnsi="宋体" w:eastAsia="宋体" w:cs="宋体"/>
          <w:color w:val="auto"/>
          <w:sz w:val="24"/>
          <w:szCs w:val="24"/>
        </w:rPr>
        <w:t>须提供专项承诺函，</w:t>
      </w:r>
      <w:r>
        <w:rPr>
          <w:rStyle w:val="18"/>
          <w:rFonts w:hint="eastAsia" w:ascii="宋体" w:hAnsi="宋体" w:cs="宋体"/>
          <w:color w:val="auto"/>
          <w:sz w:val="24"/>
          <w:szCs w:val="24"/>
          <w:lang w:eastAsia="zh-CN"/>
        </w:rPr>
        <w:t>否则按无效投标处理</w:t>
      </w:r>
      <w:r>
        <w:rPr>
          <w:rStyle w:val="18"/>
          <w:rFonts w:hint="eastAsia" w:ascii="宋体" w:hAnsi="宋体" w:eastAsia="宋体" w:cs="宋体"/>
          <w:color w:val="auto"/>
          <w:sz w:val="24"/>
          <w:szCs w:val="24"/>
        </w:rPr>
        <w:t>。</w:t>
      </w:r>
    </w:p>
    <w:p w14:paraId="67777A73">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280"/>
        <w:jc w:val="left"/>
        <w:textAlignment w:val="auto"/>
        <w:rPr>
          <w:rStyle w:val="18"/>
          <w:rFonts w:hint="eastAsia" w:ascii="宋体" w:hAnsi="宋体" w:eastAsia="宋体" w:cs="宋体"/>
          <w:color w:val="auto"/>
          <w:sz w:val="24"/>
          <w:szCs w:val="24"/>
        </w:rPr>
      </w:pPr>
      <w:r>
        <w:rPr>
          <w:rStyle w:val="18"/>
          <w:rFonts w:hint="eastAsia" w:ascii="宋体" w:hAnsi="宋体" w:eastAsia="宋体" w:cs="宋体"/>
          <w:color w:val="auto"/>
          <w:sz w:val="24"/>
          <w:szCs w:val="24"/>
        </w:rPr>
        <w:t>（</w:t>
      </w:r>
      <w:r>
        <w:rPr>
          <w:rStyle w:val="18"/>
          <w:rFonts w:hint="eastAsia" w:ascii="宋体" w:hAnsi="宋体" w:eastAsia="宋体" w:cs="宋体"/>
          <w:color w:val="auto"/>
          <w:sz w:val="24"/>
          <w:szCs w:val="24"/>
          <w:lang w:val="en-US" w:eastAsia="zh-CN"/>
        </w:rPr>
        <w:t>4</w:t>
      </w:r>
      <w:r>
        <w:rPr>
          <w:rStyle w:val="18"/>
          <w:rFonts w:hint="eastAsia" w:ascii="宋体" w:hAnsi="宋体" w:eastAsia="宋体" w:cs="宋体"/>
          <w:color w:val="auto"/>
          <w:sz w:val="24"/>
          <w:szCs w:val="24"/>
        </w:rPr>
        <w:t>）专项工作配合：</w:t>
      </w:r>
    </w:p>
    <w:p w14:paraId="49770268">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559" w:firstLineChars="233"/>
        <w:jc w:val="left"/>
        <w:textAlignment w:val="auto"/>
        <w:rPr>
          <w:rStyle w:val="18"/>
          <w:rFonts w:hint="eastAsia" w:ascii="宋体" w:hAnsi="宋体" w:eastAsia="宋体" w:cs="宋体"/>
          <w:b w:val="0"/>
          <w:bCs/>
          <w:color w:val="auto"/>
          <w:sz w:val="24"/>
          <w:szCs w:val="24"/>
          <w:lang w:val="en-US" w:eastAsia="zh-CN"/>
        </w:rPr>
      </w:pPr>
      <w:r>
        <w:rPr>
          <w:rStyle w:val="18"/>
          <w:rFonts w:hint="eastAsia" w:ascii="宋体" w:hAnsi="宋体" w:eastAsia="宋体" w:cs="宋体"/>
          <w:b w:val="0"/>
          <w:bCs/>
          <w:color w:val="auto"/>
          <w:sz w:val="24"/>
          <w:szCs w:val="24"/>
          <w:lang w:val="en-US" w:eastAsia="zh-CN"/>
        </w:rPr>
        <w:t>①多年生花田作为新优品种、景观营造区域，以不同花期、花色的花卉组合种植，构建层次丰富的空间，形成四季有花的美景，吸引游客前来打卡拍照，中标人多年生花田所购买种球、穴盘育苗的品种、规格、数量、价格及育苗所需简易大棚等</w:t>
      </w:r>
      <w:r>
        <w:rPr>
          <w:rFonts w:hint="eastAsia" w:ascii="宋体" w:hAnsi="宋体" w:eastAsia="宋体" w:cs="宋体"/>
          <w:b w:val="0"/>
          <w:bCs/>
          <w:color w:val="auto"/>
          <w:sz w:val="24"/>
          <w:szCs w:val="24"/>
          <w:lang w:val="en-US" w:eastAsia="zh-CN"/>
        </w:rPr>
        <w:t>涉及费用需经采购人审核，每个年度费用不低于2</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万元费用已包含在本次项目费用中。</w:t>
      </w:r>
    </w:p>
    <w:p w14:paraId="1671AA3C">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firstLine="559" w:firstLineChars="233"/>
        <w:jc w:val="left"/>
        <w:textAlignment w:val="auto"/>
        <w:rPr>
          <w:rFonts w:hint="eastAsia" w:ascii="宋体" w:hAnsi="宋体" w:eastAsia="宋体" w:cs="宋体"/>
          <w:b w:val="0"/>
          <w:bCs/>
          <w:color w:val="auto"/>
          <w:sz w:val="24"/>
          <w:szCs w:val="24"/>
        </w:rPr>
      </w:pPr>
      <w:r>
        <w:rPr>
          <w:rStyle w:val="18"/>
          <w:rFonts w:hint="eastAsia" w:ascii="宋体" w:hAnsi="宋体" w:eastAsia="宋体" w:cs="宋体"/>
          <w:b w:val="0"/>
          <w:bCs/>
          <w:color w:val="auto"/>
          <w:sz w:val="24"/>
          <w:szCs w:val="24"/>
          <w:lang w:val="en-US" w:eastAsia="zh-CN"/>
        </w:rPr>
        <w:t>②</w:t>
      </w:r>
      <w:r>
        <w:rPr>
          <w:rStyle w:val="18"/>
          <w:rFonts w:hint="eastAsia" w:ascii="宋体" w:hAnsi="宋体" w:eastAsia="宋体" w:cs="宋体"/>
          <w:b w:val="0"/>
          <w:bCs/>
          <w:color w:val="auto"/>
          <w:sz w:val="24"/>
          <w:szCs w:val="24"/>
        </w:rPr>
        <w:t>根据</w:t>
      </w:r>
      <w:r>
        <w:rPr>
          <w:rStyle w:val="18"/>
          <w:rFonts w:hint="eastAsia" w:ascii="宋体" w:hAnsi="宋体" w:eastAsia="宋体" w:cs="宋体"/>
          <w:b w:val="0"/>
          <w:bCs/>
          <w:color w:val="auto"/>
          <w:sz w:val="24"/>
          <w:szCs w:val="24"/>
          <w:lang w:val="en-US" w:eastAsia="zh-CN"/>
        </w:rPr>
        <w:t>采购人要求</w:t>
      </w:r>
      <w:r>
        <w:rPr>
          <w:rStyle w:val="18"/>
          <w:rFonts w:hint="eastAsia" w:ascii="宋体" w:hAnsi="宋体" w:eastAsia="宋体" w:cs="宋体"/>
          <w:b w:val="0"/>
          <w:bCs/>
          <w:color w:val="auto"/>
          <w:sz w:val="24"/>
          <w:szCs w:val="24"/>
        </w:rPr>
        <w:t>，依托花海公园园区广大，花卉物种丰富，可作为重要科研基地的特点，本项目要求中标人需无条件配合采购人进行：精细化绿化养护、草花播种方案提升、特殊苗木品种驯化、植物物候观察预测等专项任务的科学数据搜集工作，因此在本项目履行时中标人应优先选派具有标准化编制工作经验的人员进行配合，便于后期开展相关工作。</w:t>
      </w:r>
    </w:p>
    <w:p w14:paraId="150E1B9F">
      <w:pPr>
        <w:pStyle w:val="20"/>
        <w:keepNext w:val="0"/>
        <w:keepLines w:val="0"/>
        <w:pageBreakBefore w:val="0"/>
        <w:kinsoku/>
        <w:overflowPunct/>
        <w:topLinePunct w:val="0"/>
        <w:autoSpaceDE/>
        <w:autoSpaceDN/>
        <w:bidi w:val="0"/>
        <w:adjustRightInd/>
        <w:snapToGrid/>
        <w:spacing w:line="370" w:lineRule="exact"/>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三、商务要求（以“★”标示的内容为不允许负偏离的实质性要求）</w:t>
      </w:r>
    </w:p>
    <w:p w14:paraId="7BC4E96D">
      <w:pPr>
        <w:pStyle w:val="20"/>
        <w:keepNext w:val="0"/>
        <w:keepLines w:val="0"/>
        <w:pageBreakBefore w:val="0"/>
        <w:kinsoku/>
        <w:overflowPunct/>
        <w:topLinePunct w:val="0"/>
        <w:autoSpaceDE/>
        <w:autoSpaceDN/>
        <w:bidi w:val="0"/>
        <w:adjustRightInd/>
        <w:snapToGrid/>
        <w:spacing w:line="370" w:lineRule="exact"/>
        <w:textAlignment w:val="auto"/>
        <w:rPr>
          <w:rFonts w:ascii="宋体" w:hAnsi="宋体" w:eastAsia="宋体" w:cs="宋体"/>
          <w:color w:val="auto"/>
          <w:sz w:val="24"/>
          <w:szCs w:val="24"/>
        </w:rPr>
      </w:pPr>
      <w:r>
        <w:rPr>
          <w:rFonts w:ascii="宋体" w:hAnsi="宋体" w:eastAsia="宋体" w:cs="宋体"/>
          <w:color w:val="auto"/>
          <w:sz w:val="24"/>
          <w:szCs w:val="24"/>
        </w:rPr>
        <w:t>采购包1：</w:t>
      </w:r>
    </w:p>
    <w:tbl>
      <w:tblPr>
        <w:tblStyle w:val="15"/>
        <w:tblW w:w="9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8"/>
        <w:gridCol w:w="1272"/>
        <w:gridCol w:w="1800"/>
        <w:gridCol w:w="5607"/>
      </w:tblGrid>
      <w:tr w14:paraId="635C3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80" w:hRule="atLeast"/>
        </w:trPr>
        <w:tc>
          <w:tcPr>
            <w:tcW w:w="848" w:type="dxa"/>
            <w:vAlign w:val="center"/>
          </w:tcPr>
          <w:p w14:paraId="0C0713E9">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color w:val="auto"/>
                <w:sz w:val="24"/>
                <w:szCs w:val="24"/>
              </w:rPr>
            </w:pPr>
            <w:r>
              <w:rPr>
                <w:rFonts w:ascii="宋体" w:hAnsi="宋体" w:eastAsia="宋体" w:cs="宋体"/>
                <w:b/>
                <w:color w:val="auto"/>
                <w:sz w:val="24"/>
                <w:szCs w:val="24"/>
              </w:rPr>
              <w:t>序号</w:t>
            </w:r>
          </w:p>
        </w:tc>
        <w:tc>
          <w:tcPr>
            <w:tcW w:w="1272" w:type="dxa"/>
            <w:vAlign w:val="center"/>
          </w:tcPr>
          <w:p w14:paraId="5A66958A">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color w:val="auto"/>
                <w:sz w:val="24"/>
                <w:szCs w:val="24"/>
              </w:rPr>
            </w:pPr>
            <w:r>
              <w:rPr>
                <w:rFonts w:ascii="宋体" w:hAnsi="宋体" w:eastAsia="宋体" w:cs="宋体"/>
                <w:b/>
                <w:color w:val="auto"/>
                <w:sz w:val="24"/>
                <w:szCs w:val="24"/>
              </w:rPr>
              <w:t>参数性质</w:t>
            </w:r>
          </w:p>
        </w:tc>
        <w:tc>
          <w:tcPr>
            <w:tcW w:w="1800" w:type="dxa"/>
            <w:vAlign w:val="center"/>
          </w:tcPr>
          <w:p w14:paraId="5631B606">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color w:val="auto"/>
                <w:sz w:val="24"/>
                <w:szCs w:val="24"/>
              </w:rPr>
            </w:pPr>
            <w:r>
              <w:rPr>
                <w:rFonts w:ascii="宋体" w:hAnsi="宋体" w:eastAsia="宋体" w:cs="宋体"/>
                <w:b/>
                <w:color w:val="auto"/>
                <w:sz w:val="24"/>
                <w:szCs w:val="24"/>
              </w:rPr>
              <w:t>类型</w:t>
            </w:r>
          </w:p>
        </w:tc>
        <w:tc>
          <w:tcPr>
            <w:tcW w:w="5607" w:type="dxa"/>
            <w:vAlign w:val="center"/>
          </w:tcPr>
          <w:p w14:paraId="66E5EF91">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color w:val="auto"/>
                <w:sz w:val="24"/>
                <w:szCs w:val="24"/>
              </w:rPr>
            </w:pPr>
            <w:r>
              <w:rPr>
                <w:rFonts w:ascii="宋体" w:hAnsi="宋体" w:eastAsia="宋体" w:cs="宋体"/>
                <w:b/>
                <w:color w:val="auto"/>
                <w:sz w:val="24"/>
                <w:szCs w:val="24"/>
              </w:rPr>
              <w:t>要求</w:t>
            </w:r>
          </w:p>
        </w:tc>
      </w:tr>
      <w:tr w14:paraId="3BBE9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848" w:type="dxa"/>
            <w:vAlign w:val="center"/>
          </w:tcPr>
          <w:p w14:paraId="64A43B2E">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rPr>
            </w:pPr>
            <w:r>
              <w:rPr>
                <w:rFonts w:ascii="宋体" w:hAnsi="宋体" w:eastAsia="宋体" w:cs="宋体"/>
                <w:bCs/>
                <w:color w:val="auto"/>
                <w:sz w:val="24"/>
                <w:szCs w:val="24"/>
              </w:rPr>
              <w:t>1</w:t>
            </w:r>
          </w:p>
        </w:tc>
        <w:tc>
          <w:tcPr>
            <w:tcW w:w="1272" w:type="dxa"/>
            <w:vAlign w:val="center"/>
          </w:tcPr>
          <w:p w14:paraId="61469AB9">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5BBCA185">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交货时间</w:t>
            </w:r>
          </w:p>
        </w:tc>
        <w:tc>
          <w:tcPr>
            <w:tcW w:w="5607" w:type="dxa"/>
            <w:vAlign w:val="center"/>
          </w:tcPr>
          <w:p w14:paraId="4F4030CF">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服务期3</w:t>
            </w:r>
            <w:r>
              <w:rPr>
                <w:rFonts w:ascii="宋体" w:hAnsi="宋体" w:eastAsia="宋体" w:cs="宋体"/>
                <w:bCs/>
                <w:color w:val="auto"/>
                <w:sz w:val="24"/>
                <w:szCs w:val="24"/>
                <w:lang w:eastAsia="zh-CN"/>
              </w:rPr>
              <w:t>年</w:t>
            </w:r>
          </w:p>
        </w:tc>
      </w:tr>
      <w:tr w14:paraId="5321E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848" w:type="dxa"/>
            <w:vAlign w:val="center"/>
          </w:tcPr>
          <w:p w14:paraId="26CD41D0">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rPr>
            </w:pPr>
            <w:r>
              <w:rPr>
                <w:rFonts w:ascii="宋体" w:hAnsi="宋体" w:eastAsia="宋体" w:cs="宋体"/>
                <w:bCs/>
                <w:color w:val="auto"/>
                <w:sz w:val="24"/>
                <w:szCs w:val="24"/>
              </w:rPr>
              <w:t>2</w:t>
            </w:r>
          </w:p>
        </w:tc>
        <w:tc>
          <w:tcPr>
            <w:tcW w:w="1272" w:type="dxa"/>
            <w:vAlign w:val="center"/>
          </w:tcPr>
          <w:p w14:paraId="57DD4646">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1E6D7EC6">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交货地点</w:t>
            </w:r>
          </w:p>
        </w:tc>
        <w:tc>
          <w:tcPr>
            <w:tcW w:w="5607" w:type="dxa"/>
            <w:vAlign w:val="center"/>
          </w:tcPr>
          <w:p w14:paraId="187B0B4E">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福州市闽江公园管理处采购人指定地点</w:t>
            </w:r>
          </w:p>
        </w:tc>
      </w:tr>
      <w:tr w14:paraId="6705C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5" w:hRule="atLeast"/>
        </w:trPr>
        <w:tc>
          <w:tcPr>
            <w:tcW w:w="848" w:type="dxa"/>
            <w:vAlign w:val="center"/>
          </w:tcPr>
          <w:p w14:paraId="1595AA31">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rPr>
            </w:pPr>
            <w:r>
              <w:rPr>
                <w:rFonts w:ascii="宋体" w:hAnsi="宋体" w:eastAsia="宋体" w:cs="宋体"/>
                <w:bCs/>
                <w:color w:val="auto"/>
                <w:sz w:val="24"/>
                <w:szCs w:val="24"/>
              </w:rPr>
              <w:t>3</w:t>
            </w:r>
          </w:p>
        </w:tc>
        <w:tc>
          <w:tcPr>
            <w:tcW w:w="1272" w:type="dxa"/>
            <w:vAlign w:val="center"/>
          </w:tcPr>
          <w:p w14:paraId="002C9E10">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6D3ACBE2">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交货条件</w:t>
            </w:r>
          </w:p>
        </w:tc>
        <w:tc>
          <w:tcPr>
            <w:tcW w:w="5607" w:type="dxa"/>
            <w:vAlign w:val="center"/>
          </w:tcPr>
          <w:p w14:paraId="472DB3D2">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lang w:eastAsia="zh-CN"/>
              </w:rPr>
            </w:pPr>
            <w:r>
              <w:rPr>
                <w:rFonts w:ascii="宋体" w:hAnsi="宋体" w:eastAsia="宋体" w:cs="宋体"/>
                <w:bCs/>
                <w:color w:val="auto"/>
                <w:sz w:val="24"/>
                <w:szCs w:val="24"/>
                <w:lang w:eastAsia="zh-CN"/>
              </w:rPr>
              <w:t>经采购人验收合格</w:t>
            </w:r>
          </w:p>
        </w:tc>
      </w:tr>
      <w:tr w14:paraId="3351E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vAlign w:val="center"/>
          </w:tcPr>
          <w:p w14:paraId="1E3F7285">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rPr>
            </w:pPr>
            <w:r>
              <w:rPr>
                <w:rFonts w:ascii="宋体" w:hAnsi="宋体" w:eastAsia="宋体" w:cs="宋体"/>
                <w:bCs/>
                <w:color w:val="auto"/>
                <w:sz w:val="24"/>
                <w:szCs w:val="24"/>
              </w:rPr>
              <w:t>4</w:t>
            </w:r>
          </w:p>
        </w:tc>
        <w:tc>
          <w:tcPr>
            <w:tcW w:w="1272" w:type="dxa"/>
            <w:vAlign w:val="center"/>
          </w:tcPr>
          <w:p w14:paraId="605B065B">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1857F535">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是否邀请投标人验收</w:t>
            </w:r>
          </w:p>
        </w:tc>
        <w:tc>
          <w:tcPr>
            <w:tcW w:w="5607" w:type="dxa"/>
            <w:vAlign w:val="center"/>
          </w:tcPr>
          <w:p w14:paraId="09ECDD9B">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不邀请投标人验收</w:t>
            </w:r>
          </w:p>
        </w:tc>
      </w:tr>
      <w:tr w14:paraId="49DE3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trPr>
        <w:tc>
          <w:tcPr>
            <w:tcW w:w="848" w:type="dxa"/>
            <w:vAlign w:val="center"/>
          </w:tcPr>
          <w:p w14:paraId="164133A2">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rPr>
            </w:pPr>
            <w:r>
              <w:rPr>
                <w:rFonts w:ascii="宋体" w:hAnsi="宋体" w:eastAsia="宋体" w:cs="宋体"/>
                <w:bCs/>
                <w:color w:val="auto"/>
                <w:sz w:val="24"/>
                <w:szCs w:val="24"/>
              </w:rPr>
              <w:t>5</w:t>
            </w:r>
          </w:p>
        </w:tc>
        <w:tc>
          <w:tcPr>
            <w:tcW w:w="1272" w:type="dxa"/>
            <w:vAlign w:val="center"/>
          </w:tcPr>
          <w:p w14:paraId="78FDE493">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54B370D9">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履约验收方式</w:t>
            </w:r>
          </w:p>
        </w:tc>
        <w:tc>
          <w:tcPr>
            <w:tcW w:w="5607" w:type="dxa"/>
            <w:vAlign w:val="center"/>
          </w:tcPr>
          <w:p w14:paraId="5B6F1B0D">
            <w:pPr>
              <w:pStyle w:val="20"/>
              <w:keepNext w:val="0"/>
              <w:keepLines w:val="0"/>
              <w:pageBreakBefore w:val="0"/>
              <w:widowControl/>
              <w:numPr>
                <w:ilvl w:val="-1"/>
                <w:numId w:val="0"/>
              </w:numPr>
              <w:kinsoku/>
              <w:wordWrap/>
              <w:overflowPunct/>
              <w:topLinePunct w:val="0"/>
              <w:autoSpaceDE/>
              <w:autoSpaceDN/>
              <w:bidi w:val="0"/>
              <w:adjustRightInd/>
              <w:snapToGrid/>
              <w:spacing w:line="340" w:lineRule="exact"/>
              <w:jc w:val="both"/>
              <w:textAlignment w:val="auto"/>
              <w:rPr>
                <w:rFonts w:hint="eastAsia" w:ascii="宋体" w:hAnsi="宋体" w:cs="宋体"/>
                <w:bCs/>
                <w:color w:val="auto"/>
                <w:sz w:val="24"/>
                <w:szCs w:val="24"/>
                <w:shd w:val="clear" w:color="auto" w:fill="FFFFFF"/>
                <w:lang w:val="en-US" w:eastAsia="zh-CN"/>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期次1，说明：</w:t>
            </w: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福州市市管公园绿化分级养护质量标准及评分细则（试行）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一级养护标准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闽江公园所属园区</w:t>
            </w:r>
            <w:r>
              <w:rPr>
                <w:rFonts w:hint="eastAsia" w:ascii="宋体" w:hAnsi="宋体" w:eastAsia="宋体" w:cs="宋体"/>
                <w:color w:val="auto"/>
                <w:sz w:val="24"/>
                <w:szCs w:val="24"/>
                <w:lang w:val="en-US" w:eastAsia="zh-CN"/>
              </w:rPr>
              <w:t>绿化养护</w:t>
            </w:r>
            <w:r>
              <w:rPr>
                <w:rFonts w:hint="eastAsia" w:ascii="宋体" w:hAnsi="宋体" w:eastAsia="宋体" w:cs="宋体"/>
                <w:color w:val="auto"/>
                <w:sz w:val="24"/>
                <w:szCs w:val="24"/>
                <w:lang w:eastAsia="zh-CN"/>
              </w:rPr>
              <w:t>项目考核细则</w:t>
            </w:r>
            <w:r>
              <w:rPr>
                <w:rFonts w:hint="eastAsia" w:ascii="宋体" w:hAnsi="宋体" w:eastAsia="宋体" w:cs="宋体"/>
                <w:color w:val="auto"/>
                <w:sz w:val="24"/>
                <w:szCs w:val="24"/>
              </w:rPr>
              <w:t>》</w:t>
            </w:r>
            <w:r>
              <w:rPr>
                <w:rFonts w:hint="eastAsia" w:ascii="宋体" w:hAnsi="宋体" w:cs="宋体"/>
                <w:bCs/>
                <w:color w:val="auto"/>
                <w:sz w:val="24"/>
                <w:szCs w:val="24"/>
                <w:shd w:val="clear" w:color="auto" w:fill="FFFFFF"/>
                <w:lang w:val="en-US" w:eastAsia="zh-CN"/>
              </w:rPr>
              <w:t>，采购人每月不定期采取普查与随机抽查相结合的办法，对中标人养护质量进行考核验收。</w:t>
            </w:r>
          </w:p>
          <w:p w14:paraId="5647E213">
            <w:pPr>
              <w:pStyle w:val="20"/>
              <w:keepNext w:val="0"/>
              <w:keepLines w:val="0"/>
              <w:pageBreakBefore w:val="0"/>
              <w:widowControl/>
              <w:numPr>
                <w:ilvl w:val="-1"/>
                <w:numId w:val="0"/>
              </w:numPr>
              <w:kinsoku/>
              <w:wordWrap/>
              <w:overflowPunct/>
              <w:topLinePunct w:val="0"/>
              <w:autoSpaceDE/>
              <w:autoSpaceDN/>
              <w:bidi w:val="0"/>
              <w:adjustRightInd/>
              <w:snapToGrid/>
              <w:spacing w:line="340" w:lineRule="exact"/>
              <w:jc w:val="both"/>
              <w:textAlignment w:val="auto"/>
              <w:rPr>
                <w:rFonts w:hint="default" w:ascii="宋体" w:hAnsi="宋体" w:eastAsia="宋体" w:cs="宋体"/>
                <w:color w:val="auto"/>
                <w:sz w:val="24"/>
                <w:szCs w:val="24"/>
                <w:lang w:val="en-US" w:eastAsia="zh-CN"/>
              </w:rPr>
            </w:pPr>
            <w:r>
              <w:rPr>
                <w:rFonts w:hint="eastAsia" w:ascii="宋体" w:hAnsi="宋体" w:cs="宋体"/>
                <w:bCs/>
                <w:color w:val="auto"/>
                <w:sz w:val="24"/>
                <w:szCs w:val="24"/>
                <w:shd w:val="clear" w:color="auto" w:fill="FFFFFF"/>
                <w:lang w:val="en-US" w:eastAsia="zh-CN"/>
              </w:rPr>
              <w:t>2、</w:t>
            </w:r>
            <w:r>
              <w:rPr>
                <w:rFonts w:ascii="宋体" w:hAnsi="宋体" w:eastAsia="宋体" w:cs="宋体"/>
                <w:color w:val="auto"/>
                <w:sz w:val="24"/>
                <w:szCs w:val="24"/>
                <w:lang w:eastAsia="zh-CN"/>
              </w:rPr>
              <w:t>期次</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，说明：</w:t>
            </w: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rPr>
              <w:t>《闽江公园所属园区</w:t>
            </w:r>
            <w:r>
              <w:rPr>
                <w:rFonts w:hint="eastAsia" w:ascii="宋体" w:hAnsi="宋体" w:cs="宋体"/>
                <w:color w:val="auto"/>
                <w:sz w:val="24"/>
                <w:szCs w:val="24"/>
                <w:lang w:eastAsia="zh-CN"/>
              </w:rPr>
              <w:t>草花播种项目质量考核标准与评分依据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闽江公园所属园区</w:t>
            </w:r>
            <w:r>
              <w:rPr>
                <w:rFonts w:hint="eastAsia" w:ascii="宋体" w:hAnsi="宋体" w:eastAsia="宋体" w:cs="宋体"/>
                <w:color w:val="auto"/>
                <w:sz w:val="24"/>
                <w:szCs w:val="24"/>
                <w:lang w:val="en-US" w:eastAsia="zh-CN"/>
              </w:rPr>
              <w:t>绿化养护</w:t>
            </w:r>
            <w:r>
              <w:rPr>
                <w:rFonts w:hint="eastAsia" w:ascii="宋体" w:hAnsi="宋体" w:eastAsia="宋体" w:cs="宋体"/>
                <w:color w:val="auto"/>
                <w:sz w:val="24"/>
                <w:szCs w:val="24"/>
                <w:lang w:eastAsia="zh-CN"/>
              </w:rPr>
              <w:t>项目考核细则</w:t>
            </w:r>
            <w:r>
              <w:rPr>
                <w:rFonts w:hint="eastAsia" w:ascii="宋体" w:hAnsi="宋体" w:eastAsia="宋体" w:cs="宋体"/>
                <w:color w:val="auto"/>
                <w:sz w:val="24"/>
                <w:szCs w:val="24"/>
              </w:rPr>
              <w:t>》</w:t>
            </w:r>
            <w:r>
              <w:rPr>
                <w:rFonts w:hint="eastAsia" w:ascii="宋体" w:hAnsi="宋体" w:cs="宋体"/>
                <w:bCs/>
                <w:color w:val="auto"/>
                <w:sz w:val="24"/>
                <w:szCs w:val="24"/>
                <w:shd w:val="clear" w:color="auto" w:fill="FFFFFF"/>
                <w:lang w:val="en-US" w:eastAsia="zh-CN"/>
              </w:rPr>
              <w:t>规定，采购人每月不定期采取普查与随机抽查相结合的办法，对中标人草花播种进行考核验收。</w:t>
            </w:r>
          </w:p>
        </w:tc>
      </w:tr>
      <w:tr w14:paraId="231D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848" w:type="dxa"/>
            <w:vAlign w:val="center"/>
          </w:tcPr>
          <w:p w14:paraId="3E247D12">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rPr>
            </w:pPr>
            <w:r>
              <w:rPr>
                <w:rFonts w:ascii="宋体" w:hAnsi="宋体" w:eastAsia="宋体" w:cs="宋体"/>
                <w:bCs/>
                <w:color w:val="auto"/>
                <w:sz w:val="24"/>
                <w:szCs w:val="24"/>
              </w:rPr>
              <w:t>6</w:t>
            </w:r>
          </w:p>
        </w:tc>
        <w:tc>
          <w:tcPr>
            <w:tcW w:w="1272" w:type="dxa"/>
            <w:vAlign w:val="center"/>
          </w:tcPr>
          <w:p w14:paraId="30DF235E">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0BD261FA">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合同支付方式</w:t>
            </w:r>
          </w:p>
        </w:tc>
        <w:tc>
          <w:tcPr>
            <w:tcW w:w="5607" w:type="dxa"/>
          </w:tcPr>
          <w:p w14:paraId="2A23B61F">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lang w:eastAsia="zh-CN"/>
              </w:rPr>
            </w:pPr>
            <w:r>
              <w:rPr>
                <w:rFonts w:ascii="宋体" w:hAnsi="宋体" w:eastAsia="宋体" w:cs="宋体"/>
                <w:color w:val="auto"/>
                <w:kern w:val="0"/>
                <w:sz w:val="24"/>
                <w:szCs w:val="24"/>
                <w:lang w:val="en-US" w:eastAsia="zh-CN" w:bidi="ar"/>
              </w:rPr>
              <w:t>中标人完成一个</w:t>
            </w:r>
            <w:r>
              <w:rPr>
                <w:rFonts w:hint="eastAsia" w:ascii="宋体" w:hAnsi="宋体" w:eastAsia="宋体" w:cs="宋体"/>
                <w:color w:val="auto"/>
                <w:kern w:val="0"/>
                <w:sz w:val="24"/>
                <w:szCs w:val="24"/>
                <w:lang w:val="en-US" w:eastAsia="zh-CN" w:bidi="ar"/>
              </w:rPr>
              <w:t>季度</w:t>
            </w:r>
            <w:r>
              <w:rPr>
                <w:rFonts w:ascii="宋体" w:hAnsi="宋体" w:eastAsia="宋体" w:cs="宋体"/>
                <w:color w:val="auto"/>
                <w:kern w:val="0"/>
                <w:sz w:val="24"/>
                <w:szCs w:val="24"/>
                <w:lang w:val="en-US" w:eastAsia="zh-CN" w:bidi="ar"/>
              </w:rPr>
              <w:t>绿化养护</w:t>
            </w:r>
            <w:r>
              <w:rPr>
                <w:rFonts w:hint="eastAsia" w:ascii="宋体" w:hAnsi="宋体" w:eastAsia="宋体" w:cs="宋体"/>
                <w:color w:val="auto"/>
                <w:sz w:val="24"/>
                <w:szCs w:val="24"/>
                <w:highlight w:val="none"/>
                <w:lang w:val="en-US" w:eastAsia="zh-CN"/>
              </w:rPr>
              <w:t>及</w:t>
            </w:r>
            <w:r>
              <w:rPr>
                <w:rFonts w:hint="default" w:ascii="宋体" w:hAnsi="宋体" w:eastAsia="宋体" w:cs="宋体"/>
                <w:color w:val="auto"/>
                <w:sz w:val="24"/>
                <w:szCs w:val="24"/>
                <w:highlight w:val="none"/>
                <w:lang w:val="en-US" w:eastAsia="zh-CN"/>
              </w:rPr>
              <w:t>花田播种</w:t>
            </w:r>
            <w:r>
              <w:rPr>
                <w:rFonts w:ascii="宋体" w:hAnsi="宋体" w:eastAsia="宋体" w:cs="宋体"/>
                <w:color w:val="auto"/>
                <w:kern w:val="0"/>
                <w:sz w:val="24"/>
                <w:szCs w:val="24"/>
                <w:lang w:val="en-US" w:eastAsia="zh-CN" w:bidi="ar"/>
              </w:rPr>
              <w:t>工作</w:t>
            </w:r>
            <w:r>
              <w:rPr>
                <w:rFonts w:ascii="宋体" w:hAnsi="宋体" w:eastAsia="宋体" w:cs="宋体"/>
                <w:color w:val="auto"/>
                <w:sz w:val="24"/>
                <w:szCs w:val="24"/>
              </w:rPr>
              <w:t>，采购人在收到中标人开具的等额且合法有效的发票后</w:t>
            </w:r>
            <w:r>
              <w:rPr>
                <w:rFonts w:ascii="宋体" w:hAnsi="宋体" w:eastAsia="宋体" w:cs="宋体"/>
                <w:color w:val="auto"/>
                <w:sz w:val="24"/>
                <w:szCs w:val="24"/>
                <w:lang w:eastAsia="zh-CN"/>
              </w:rPr>
              <w:t>，</w:t>
            </w:r>
            <w:r>
              <w:rPr>
                <w:rFonts w:ascii="宋体" w:hAnsi="宋体" w:eastAsia="宋体" w:cs="宋体"/>
                <w:color w:val="auto"/>
                <w:sz w:val="24"/>
                <w:szCs w:val="24"/>
              </w:rPr>
              <w:t>达到付款条件起</w:t>
            </w:r>
            <w:r>
              <w:rPr>
                <w:rFonts w:ascii="宋体" w:hAnsi="宋体" w:eastAsia="宋体" w:cs="宋体"/>
                <w:color w:val="auto"/>
                <w:sz w:val="24"/>
                <w:szCs w:val="24"/>
                <w:lang w:eastAsia="zh-CN"/>
              </w:rPr>
              <w:t>15</w:t>
            </w:r>
            <w:r>
              <w:rPr>
                <w:rFonts w:ascii="宋体" w:hAnsi="宋体" w:eastAsia="宋体" w:cs="宋体"/>
                <w:color w:val="auto"/>
                <w:sz w:val="24"/>
                <w:szCs w:val="24"/>
              </w:rPr>
              <w:t>日内，支付合同总金额的</w:t>
            </w:r>
            <w:r>
              <w:rPr>
                <w:rFonts w:ascii="宋体" w:hAnsi="宋体" w:eastAsia="宋体" w:cs="宋体"/>
                <w:color w:val="auto"/>
                <w:sz w:val="24"/>
                <w:szCs w:val="24"/>
                <w:lang w:eastAsia="zh-CN"/>
              </w:rPr>
              <w:t>10</w:t>
            </w:r>
            <w:r>
              <w:rPr>
                <w:rFonts w:ascii="宋体" w:hAnsi="宋体" w:eastAsia="宋体" w:cs="宋体"/>
                <w:color w:val="auto"/>
                <w:sz w:val="24"/>
                <w:szCs w:val="24"/>
              </w:rPr>
              <w:t>0.00%</w:t>
            </w:r>
          </w:p>
        </w:tc>
      </w:tr>
      <w:tr w14:paraId="4B8DD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848" w:type="dxa"/>
            <w:vAlign w:val="center"/>
          </w:tcPr>
          <w:p w14:paraId="1D8CB0EB">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Cs/>
                <w:color w:val="auto"/>
                <w:sz w:val="24"/>
                <w:szCs w:val="24"/>
                <w:lang w:eastAsia="zh-CN"/>
              </w:rPr>
            </w:pPr>
            <w:r>
              <w:rPr>
                <w:rFonts w:ascii="宋体" w:hAnsi="宋体" w:eastAsia="宋体" w:cs="宋体"/>
                <w:bCs/>
                <w:color w:val="auto"/>
                <w:sz w:val="24"/>
                <w:szCs w:val="24"/>
                <w:lang w:eastAsia="zh-CN"/>
              </w:rPr>
              <w:t>7</w:t>
            </w:r>
          </w:p>
        </w:tc>
        <w:tc>
          <w:tcPr>
            <w:tcW w:w="1272" w:type="dxa"/>
            <w:vAlign w:val="center"/>
          </w:tcPr>
          <w:p w14:paraId="2AC3A130">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rPr>
            </w:pPr>
            <w:r>
              <w:rPr>
                <w:rFonts w:ascii="宋体" w:hAnsi="宋体" w:eastAsia="宋体" w:cs="宋体"/>
                <w:bCs/>
                <w:color w:val="auto"/>
                <w:sz w:val="24"/>
                <w:szCs w:val="24"/>
              </w:rPr>
              <w:t>★</w:t>
            </w:r>
          </w:p>
        </w:tc>
        <w:tc>
          <w:tcPr>
            <w:tcW w:w="1800" w:type="dxa"/>
            <w:vAlign w:val="center"/>
          </w:tcPr>
          <w:p w14:paraId="51B0E0D3">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lang w:eastAsia="zh-CN"/>
              </w:rPr>
            </w:pPr>
            <w:r>
              <w:rPr>
                <w:rFonts w:ascii="宋体" w:hAnsi="宋体" w:eastAsia="宋体" w:cs="宋体"/>
                <w:bCs/>
                <w:color w:val="auto"/>
                <w:sz w:val="24"/>
                <w:szCs w:val="24"/>
                <w:lang w:eastAsia="zh-CN"/>
              </w:rPr>
              <w:t>履约保证金</w:t>
            </w:r>
          </w:p>
        </w:tc>
        <w:tc>
          <w:tcPr>
            <w:tcW w:w="5607" w:type="dxa"/>
          </w:tcPr>
          <w:p w14:paraId="105B18A7">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缴纳 , 本采购包履约保证金为合同金额的2%</w:t>
            </w:r>
          </w:p>
          <w:p w14:paraId="77E2DB4D">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缴纳方式：中标人须在签订采购合同前以转账、支票、汇票、本票或者金融机构出具的保函、保险保证保函、担保公司担保等非现金方式向采购人缴纳合同</w:t>
            </w:r>
            <w:r>
              <w:rPr>
                <w:rFonts w:hint="eastAsia" w:ascii="宋体" w:hAnsi="宋体" w:eastAsia="宋体" w:cs="宋体"/>
                <w:bCs/>
                <w:color w:val="auto"/>
                <w:sz w:val="24"/>
                <w:szCs w:val="24"/>
                <w:lang w:val="en-US" w:eastAsia="zh-CN"/>
              </w:rPr>
              <w:t>金额的</w:t>
            </w:r>
            <w:r>
              <w:rPr>
                <w:rFonts w:hint="eastAsia" w:ascii="宋体" w:hAnsi="宋体" w:eastAsia="宋体" w:cs="宋体"/>
                <w:bCs/>
                <w:color w:val="auto"/>
                <w:sz w:val="24"/>
                <w:szCs w:val="24"/>
                <w:lang w:eastAsia="zh-CN"/>
              </w:rPr>
              <w:t>2%履约保证金；履约保证金将在服务期满且中标人的合同义务已履行完毕后无息退还；在合同期内未出现违约现象及采购人利益受损的情况下，合同到期时无息退还。如中标人违约，不予退还履约保证金，若造成采购人经济损失的，采购人有权向中标人追偿。</w:t>
            </w:r>
          </w:p>
        </w:tc>
      </w:tr>
      <w:tr w14:paraId="37D12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848" w:type="dxa"/>
            <w:vAlign w:val="center"/>
          </w:tcPr>
          <w:p w14:paraId="52AA41C1">
            <w:pPr>
              <w:pStyle w:val="2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p>
        </w:tc>
        <w:tc>
          <w:tcPr>
            <w:tcW w:w="1272" w:type="dxa"/>
            <w:vAlign w:val="center"/>
          </w:tcPr>
          <w:p w14:paraId="24CB09D5">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4802A50B">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其他</w:t>
            </w:r>
          </w:p>
        </w:tc>
        <w:tc>
          <w:tcPr>
            <w:tcW w:w="5607" w:type="dxa"/>
            <w:shd w:val="clear" w:color="auto" w:fill="auto"/>
            <w:vAlign w:val="top"/>
          </w:tcPr>
          <w:p w14:paraId="6068F03D">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关于“合同支付方式”的补充说明：</w:t>
            </w:r>
            <w:r>
              <w:rPr>
                <w:rFonts w:ascii="宋体" w:hAnsi="宋体" w:eastAsia="宋体" w:cs="宋体"/>
                <w:color w:val="auto"/>
                <w:kern w:val="0"/>
                <w:sz w:val="24"/>
                <w:szCs w:val="24"/>
                <w:highlight w:val="none"/>
                <w:lang w:val="en-US" w:eastAsia="zh-CN" w:bidi="ar"/>
              </w:rPr>
              <w:t>中标人完成一个季度绿化养护工作，根据中标金额按照经双方共同</w:t>
            </w:r>
            <w:r>
              <w:rPr>
                <w:rFonts w:hint="eastAsia" w:ascii="宋体" w:hAnsi="宋体" w:eastAsia="宋体" w:cs="宋体"/>
                <w:color w:val="auto"/>
                <w:kern w:val="0"/>
                <w:sz w:val="24"/>
                <w:szCs w:val="24"/>
                <w:highlight w:val="none"/>
                <w:lang w:val="en-US" w:eastAsia="zh-CN" w:bidi="ar"/>
              </w:rPr>
              <w:t>以</w:t>
            </w:r>
            <w:r>
              <w:rPr>
                <w:rFonts w:ascii="宋体" w:hAnsi="宋体" w:eastAsia="宋体" w:cs="宋体"/>
                <w:color w:val="auto"/>
                <w:kern w:val="0"/>
                <w:sz w:val="24"/>
                <w:szCs w:val="24"/>
                <w:highlight w:val="none"/>
                <w:lang w:val="en-US" w:eastAsia="zh-CN" w:bidi="ar"/>
              </w:rPr>
              <w:t>合同</w:t>
            </w:r>
            <w:r>
              <w:rPr>
                <w:rFonts w:hint="eastAsia" w:ascii="宋体" w:hAnsi="宋体" w:eastAsia="宋体" w:cs="宋体"/>
                <w:color w:val="auto"/>
                <w:kern w:val="0"/>
                <w:sz w:val="24"/>
                <w:szCs w:val="24"/>
                <w:highlight w:val="none"/>
                <w:lang w:val="en-US" w:eastAsia="zh-CN" w:bidi="ar"/>
              </w:rPr>
              <w:t>中规定的考核标准</w:t>
            </w:r>
            <w:r>
              <w:rPr>
                <w:rFonts w:ascii="宋体" w:hAnsi="宋体" w:eastAsia="宋体" w:cs="宋体"/>
                <w:color w:val="auto"/>
                <w:kern w:val="0"/>
                <w:sz w:val="24"/>
                <w:szCs w:val="24"/>
                <w:highlight w:val="none"/>
                <w:lang w:val="en-US" w:eastAsia="zh-CN" w:bidi="ar"/>
              </w:rPr>
              <w:t>核定的季度养护经费。</w:t>
            </w:r>
          </w:p>
          <w:p w14:paraId="611A74A1">
            <w:pPr>
              <w:pStyle w:val="20"/>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在财政资金到位的情况下，</w:t>
            </w:r>
            <w:r>
              <w:rPr>
                <w:rFonts w:ascii="宋体" w:hAnsi="宋体" w:eastAsia="宋体" w:cs="宋体"/>
                <w:color w:val="auto"/>
                <w:kern w:val="0"/>
                <w:sz w:val="24"/>
                <w:szCs w:val="24"/>
                <w:highlight w:val="none"/>
                <w:lang w:val="en-US" w:eastAsia="zh-CN" w:bidi="ar"/>
              </w:rPr>
              <w:t>采购人于下个季度首月十日内以转账方式支付中标人，中标人应出具正式发票及当季验收所需提供的相关材料。</w:t>
            </w:r>
            <w:r>
              <w:rPr>
                <w:rFonts w:hint="eastAsia" w:ascii="宋体" w:hAnsi="宋体" w:eastAsia="宋体" w:cs="宋体"/>
                <w:color w:val="auto"/>
                <w:kern w:val="0"/>
                <w:sz w:val="24"/>
                <w:szCs w:val="24"/>
                <w:highlight w:val="none"/>
                <w:lang w:val="en-US" w:eastAsia="zh-CN" w:bidi="ar"/>
              </w:rPr>
              <w:t>（1）景观绿地项目，支付期次说明：共12期，</w:t>
            </w:r>
            <w:r>
              <w:rPr>
                <w:rFonts w:hint="eastAsia" w:ascii="宋体" w:hAnsi="宋体" w:eastAsia="宋体" w:cs="宋体"/>
                <w:color w:val="auto"/>
                <w:sz w:val="24"/>
                <w:szCs w:val="24"/>
                <w:highlight w:val="none"/>
              </w:rPr>
              <w:t>合同签订后支付进度款，考核未达标准相应扣减的养护费用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若付款期次包含过渡期，付款方式参考第五章（八）其他要求中第（1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条执行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草花（含一年生及多年生）</w:t>
            </w:r>
            <w:r>
              <w:rPr>
                <w:rFonts w:hint="eastAsia" w:ascii="宋体" w:hAnsi="宋体" w:eastAsia="宋体" w:cs="宋体"/>
                <w:color w:val="auto"/>
                <w:sz w:val="24"/>
                <w:szCs w:val="24"/>
                <w:highlight w:val="none"/>
                <w:lang w:val="en-US" w:eastAsia="zh-CN"/>
              </w:rPr>
              <w:t>项目</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支付期次说明：共12期，</w:t>
            </w:r>
            <w:r>
              <w:rPr>
                <w:rFonts w:hint="eastAsia" w:ascii="宋体" w:hAnsi="宋体" w:eastAsia="宋体" w:cs="宋体"/>
                <w:color w:val="auto"/>
                <w:sz w:val="24"/>
                <w:szCs w:val="24"/>
                <w:highlight w:val="none"/>
              </w:rPr>
              <w:t>合同签订后支付进度款，考核未达标准相应扣减的养护费用。第4、8、12期进行花田土壤改良考核，改良工作未实施则扣除该期次内20万元经费由采购人进行改良工作，若改良结果不达标或改良方量不足，则按比例扣除相应费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若付款期次包含过渡期，付款方式参考第五章（八）其他要求中第（2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条执行）；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环岛路环南台岛滨江休闲路（解放大桥至花海公园段）</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kern w:val="0"/>
                <w:sz w:val="24"/>
                <w:szCs w:val="24"/>
                <w:highlight w:val="none"/>
                <w:lang w:val="en-US" w:eastAsia="zh-CN" w:bidi="ar"/>
              </w:rPr>
              <w:t>支付</w:t>
            </w:r>
            <w:r>
              <w:rPr>
                <w:rFonts w:hint="default" w:ascii="宋体" w:hAnsi="宋体" w:eastAsia="宋体" w:cs="宋体"/>
                <w:color w:val="auto"/>
                <w:sz w:val="24"/>
                <w:szCs w:val="24"/>
                <w:highlight w:val="none"/>
                <w:lang w:val="en-US" w:eastAsia="zh-CN"/>
              </w:rPr>
              <w:t>期次</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kern w:val="0"/>
                <w:sz w:val="24"/>
                <w:szCs w:val="24"/>
                <w:highlight w:val="none"/>
                <w:lang w:val="en-US" w:eastAsia="zh-CN" w:bidi="ar"/>
              </w:rPr>
              <w:t>：共12期，</w:t>
            </w:r>
            <w:r>
              <w:rPr>
                <w:rFonts w:hint="eastAsia" w:ascii="宋体" w:hAnsi="宋体" w:eastAsia="宋体" w:cs="宋体"/>
                <w:color w:val="auto"/>
                <w:sz w:val="24"/>
                <w:szCs w:val="24"/>
                <w:highlight w:val="none"/>
              </w:rPr>
              <w:t>合同签订后支付进度款，考核未达标准相应扣减的养护费用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若付款期次包含过渡期，付款方式参考第五章（八）其他要求中第（3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条执行）</w:t>
            </w:r>
            <w:r>
              <w:rPr>
                <w:rFonts w:hint="eastAsia" w:ascii="宋体" w:hAnsi="宋体" w:eastAsia="宋体" w:cs="宋体"/>
                <w:color w:val="auto"/>
                <w:sz w:val="24"/>
                <w:szCs w:val="24"/>
                <w:highlight w:val="none"/>
              </w:rPr>
              <w:t>。</w:t>
            </w:r>
          </w:p>
        </w:tc>
      </w:tr>
    </w:tbl>
    <w:p w14:paraId="50542B94">
      <w:pPr>
        <w:pStyle w:val="20"/>
        <w:keepNext w:val="0"/>
        <w:keepLines w:val="0"/>
        <w:pageBreakBefore w:val="0"/>
        <w:kinsoku/>
        <w:overflowPunct/>
        <w:topLinePunct w:val="0"/>
        <w:autoSpaceDE/>
        <w:autoSpaceDN/>
        <w:bidi w:val="0"/>
        <w:adjustRightInd/>
        <w:snapToGrid/>
        <w:spacing w:line="370" w:lineRule="exact"/>
        <w:textAlignment w:val="auto"/>
        <w:rPr>
          <w:rFonts w:ascii="宋体" w:hAnsi="宋体" w:eastAsia="宋体" w:cs="宋体"/>
          <w:color w:val="auto"/>
          <w:sz w:val="24"/>
          <w:szCs w:val="24"/>
        </w:rPr>
      </w:pPr>
      <w:r>
        <w:rPr>
          <w:rFonts w:ascii="宋体" w:hAnsi="宋体" w:eastAsia="宋体" w:cs="宋体"/>
          <w:color w:val="auto"/>
          <w:sz w:val="24"/>
          <w:szCs w:val="24"/>
        </w:rPr>
        <w:t>其他商务要求</w:t>
      </w:r>
    </w:p>
    <w:p w14:paraId="4F302670">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lang w:val="en-US" w:eastAsia="zh-CN"/>
        </w:rPr>
        <w:t>9</w:t>
      </w:r>
      <w:r>
        <w:rPr>
          <w:rFonts w:ascii="宋体" w:hAnsi="宋体" w:cs="宋体"/>
          <w:bCs/>
          <w:color w:val="auto"/>
          <w:sz w:val="24"/>
          <w:szCs w:val="24"/>
          <w:shd w:val="clear" w:color="auto" w:fill="FFFFFF"/>
        </w:rPr>
        <w:t>、违约责任</w:t>
      </w:r>
    </w:p>
    <w:p w14:paraId="4C813C25">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lang w:val="en-US" w:eastAsia="zh-CN"/>
        </w:rPr>
        <w:t>9</w:t>
      </w:r>
      <w:r>
        <w:rPr>
          <w:rFonts w:ascii="宋体" w:hAnsi="宋体" w:cs="宋体"/>
          <w:bCs/>
          <w:color w:val="auto"/>
          <w:sz w:val="24"/>
          <w:szCs w:val="24"/>
          <w:shd w:val="clear" w:color="auto" w:fill="FFFFFF"/>
        </w:rPr>
        <w:t>.1因</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原因造成采购合同无法按时签订，视为</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违约，采购人有权终止合同；</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违约对采购人造成的损失的，需另行支付相应的赔偿。</w:t>
      </w:r>
    </w:p>
    <w:p w14:paraId="18211E29">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lang w:val="en-US" w:eastAsia="zh-CN"/>
        </w:rPr>
        <w:t>9</w:t>
      </w:r>
      <w:r>
        <w:rPr>
          <w:rFonts w:ascii="宋体" w:hAnsi="宋体" w:cs="宋体"/>
          <w:bCs/>
          <w:color w:val="auto"/>
          <w:sz w:val="24"/>
          <w:szCs w:val="24"/>
          <w:shd w:val="clear" w:color="auto" w:fill="FFFFFF"/>
        </w:rPr>
        <w:t>.2在签订采购合同后，</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要求解除合同的，视为</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违约，</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违约对采购人造成损失的，需另行支付相应的违约金、赔偿金。</w:t>
      </w:r>
    </w:p>
    <w:p w14:paraId="20D63912">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lang w:val="en-US" w:eastAsia="zh-CN"/>
        </w:rPr>
        <w:t>9</w:t>
      </w:r>
      <w:r>
        <w:rPr>
          <w:rFonts w:ascii="宋体" w:hAnsi="宋体" w:cs="宋体"/>
          <w:bCs/>
          <w:color w:val="auto"/>
          <w:sz w:val="24"/>
          <w:szCs w:val="24"/>
          <w:shd w:val="clear" w:color="auto" w:fill="FFFFFF"/>
        </w:rPr>
        <w:t>.3因</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原因发生重大质量事故，除依约承担赔偿责任外，还将按有关质量管理办法规定执行。同时，采购人有权保留更换</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的权利，并报相关行政主管部门处罚。</w:t>
      </w:r>
    </w:p>
    <w:p w14:paraId="78F9B94F">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lang w:val="en-US" w:eastAsia="zh-CN"/>
        </w:rPr>
        <w:t>9</w:t>
      </w:r>
      <w:r>
        <w:rPr>
          <w:rFonts w:ascii="宋体" w:hAnsi="宋体" w:cs="宋体"/>
          <w:bCs/>
          <w:color w:val="auto"/>
          <w:sz w:val="24"/>
          <w:szCs w:val="24"/>
          <w:shd w:val="clear" w:color="auto" w:fill="FFFFFF"/>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，给采购人造成的损失，还应承担赔偿责任。</w:t>
      </w:r>
    </w:p>
    <w:p w14:paraId="6C0271A8">
      <w:pPr>
        <w:pStyle w:val="20"/>
        <w:keepNext w:val="0"/>
        <w:keepLines w:val="0"/>
        <w:pageBreakBefore w:val="0"/>
        <w:kinsoku/>
        <w:overflowPunct/>
        <w:topLinePunct w:val="0"/>
        <w:autoSpaceDE/>
        <w:autoSpaceDN/>
        <w:bidi w:val="0"/>
        <w:adjustRightInd/>
        <w:snapToGrid/>
        <w:spacing w:line="370" w:lineRule="exact"/>
        <w:ind w:firstLine="480" w:firstLineChars="200"/>
        <w:jc w:val="both"/>
        <w:textAlignment w:val="auto"/>
        <w:outlineLvl w:val="2"/>
        <w:rPr>
          <w:rFonts w:ascii="宋体" w:hAnsi="宋体" w:eastAsia="宋体" w:cs="宋体"/>
          <w:b/>
          <w:bCs/>
          <w:color w:val="auto"/>
          <w:sz w:val="24"/>
        </w:rPr>
      </w:pPr>
      <w:r>
        <w:rPr>
          <w:rFonts w:hint="eastAsia" w:ascii="宋体" w:hAnsi="宋体" w:cs="宋体"/>
          <w:bCs/>
          <w:color w:val="auto"/>
          <w:sz w:val="24"/>
          <w:szCs w:val="24"/>
          <w:shd w:val="clear" w:color="auto" w:fill="FFFFFF"/>
          <w:lang w:val="en-US" w:eastAsia="zh-CN"/>
        </w:rPr>
        <w:t>9</w:t>
      </w:r>
      <w:r>
        <w:rPr>
          <w:rFonts w:ascii="宋体" w:hAnsi="宋体" w:cs="宋体"/>
          <w:bCs/>
          <w:color w:val="auto"/>
          <w:sz w:val="24"/>
          <w:szCs w:val="24"/>
          <w:shd w:val="clear" w:color="auto" w:fill="FFFFFF"/>
          <w:lang w:eastAsia="zh-CN"/>
        </w:rPr>
        <w:t>.5</w:t>
      </w:r>
      <w:r>
        <w:rPr>
          <w:rFonts w:ascii="宋体" w:hAnsi="宋体" w:cs="宋体"/>
          <w:bCs/>
          <w:color w:val="auto"/>
          <w:sz w:val="24"/>
          <w:szCs w:val="24"/>
          <w:shd w:val="clear" w:color="auto" w:fill="FFFFFF"/>
        </w:rPr>
        <w:t>在明确违约责任后，</w:t>
      </w:r>
      <w:r>
        <w:rPr>
          <w:rFonts w:ascii="宋体" w:hAnsi="宋体" w:cs="宋体"/>
          <w:bCs/>
          <w:color w:val="auto"/>
          <w:sz w:val="24"/>
          <w:szCs w:val="24"/>
          <w:shd w:val="clear" w:color="auto" w:fill="FFFFFF"/>
          <w:lang w:eastAsia="zh-CN"/>
        </w:rPr>
        <w:t>中标人</w:t>
      </w:r>
      <w:r>
        <w:rPr>
          <w:rFonts w:ascii="宋体" w:hAnsi="宋体" w:cs="宋体"/>
          <w:bCs/>
          <w:color w:val="auto"/>
          <w:sz w:val="24"/>
          <w:szCs w:val="24"/>
          <w:shd w:val="clear" w:color="auto" w:fill="FFFFFF"/>
        </w:rPr>
        <w:t>应在接到书面通知书起七天内支付违约金赔偿金等。</w:t>
      </w:r>
    </w:p>
    <w:p w14:paraId="0A1049AD">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10、考核验收</w:t>
      </w:r>
    </w:p>
    <w:p w14:paraId="2E1D8F45">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采购人每月不定期采取普查与随机抽查相结合的办法，对中标人养护质量进行考核验收，具体验收方式参照附件4《闽江公园所属园区绿化养护项目考核细则》实施。</w:t>
      </w:r>
    </w:p>
    <w:p w14:paraId="4D150143">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11、其他要求</w:t>
      </w:r>
    </w:p>
    <w:p w14:paraId="209181EE">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11.1中标人应保证不降低养护人员工资待遇标准，必须按时支付员工工资，保障员工各项劳动权益。养护人员经费，原则上都要安排用于工人劳动待遇和保障。</w:t>
      </w:r>
    </w:p>
    <w:p w14:paraId="2B9B33A6">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11.2中标人应保证员工工资待遇标准不得低于福州市最低工资标准。</w:t>
      </w:r>
    </w:p>
    <w:p w14:paraId="01D2BAF4">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11.3承包期内中标人发生的一切事故，如治安、交通事故、第三方伤害赔偿和劳资纠纷等，均由中标人承担。</w:t>
      </w:r>
    </w:p>
    <w:p w14:paraId="077ACA09">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11.4中标人在绿化养护过程中所需的水、电由采购人负责，其产生的费用由采购人承担。</w:t>
      </w:r>
    </w:p>
    <w:p w14:paraId="5D4ACC1C">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11.5中标人应积极协助采购人做好各项突发事件及上级交办任务的应急处理工作，其中为采购人免费提供的150个工时费用包含在本次项目报价中，超出部分由采购人根据实际服务情况另行支付。</w:t>
      </w:r>
    </w:p>
    <w:p w14:paraId="0DB888CF">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11.6中标人日常作业内容应包含地面盆栽植物养护，如三角梅、节假日时花等。</w:t>
      </w:r>
    </w:p>
    <w:p w14:paraId="666D75CA">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11.7发现人为破坏绿化和设施的，应当及时制止并上报，并严格按照采购人要求执行。</w:t>
      </w:r>
    </w:p>
    <w:p w14:paraId="6DFEC724">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11.8数字城管和12345的案件接件由采购人负责，中标人按规定时间书面反馈及处理。未按规定时间处理的每件处罚300元。</w:t>
      </w:r>
    </w:p>
    <w:p w14:paraId="35CBD56D">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hint="eastAsia" w:ascii="宋体" w:hAnsi="宋体" w:cs="宋体"/>
          <w:bCs/>
          <w:color w:val="auto"/>
          <w:sz w:val="24"/>
          <w:szCs w:val="24"/>
          <w:shd w:val="clear" w:color="auto" w:fill="FFFFFF"/>
          <w:lang w:val="en-US" w:eastAsia="zh-CN"/>
        </w:rPr>
      </w:pPr>
      <w:r>
        <w:rPr>
          <w:rFonts w:hint="eastAsia" w:ascii="宋体" w:hAnsi="宋体" w:cs="宋体"/>
          <w:bCs/>
          <w:color w:val="auto"/>
          <w:sz w:val="24"/>
          <w:szCs w:val="24"/>
          <w:shd w:val="clear" w:color="auto" w:fill="FFFFFF"/>
          <w:lang w:val="en-US" w:eastAsia="zh-CN"/>
        </w:rPr>
        <w:t>11.9附件：《</w:t>
      </w:r>
      <w:r>
        <w:rPr>
          <w:rFonts w:hint="eastAsia" w:ascii="宋体" w:hAnsi="宋体" w:eastAsia="宋体" w:cs="宋体"/>
          <w:color w:val="auto"/>
          <w:kern w:val="2"/>
          <w:sz w:val="24"/>
          <w:szCs w:val="24"/>
          <w:lang w:val="en-US" w:eastAsia="zh-CN" w:bidi="ar-SA"/>
        </w:rPr>
        <w:t>福州市市管公园绿化分级养护质量标准及评分细则（试行）</w:t>
      </w:r>
      <w:r>
        <w:rPr>
          <w:rFonts w:hint="eastAsia" w:ascii="宋体" w:hAnsi="宋体" w:cs="宋体"/>
          <w:bCs/>
          <w:color w:val="auto"/>
          <w:sz w:val="24"/>
          <w:szCs w:val="24"/>
          <w:shd w:val="clear" w:color="auto" w:fill="FFFFFF"/>
          <w:lang w:val="en-US" w:eastAsia="zh-CN"/>
        </w:rPr>
        <w:t>》(附件1)；《闽江公园园容科草花播种督查考核登记表》(附件2)；</w:t>
      </w:r>
      <w:r>
        <w:rPr>
          <w:rFonts w:hint="eastAsia" w:ascii="宋体" w:hAnsi="宋体" w:eastAsia="宋体" w:cs="宋体"/>
          <w:color w:val="auto"/>
          <w:sz w:val="24"/>
          <w:szCs w:val="24"/>
        </w:rPr>
        <w:t>《闽江公园所属园区</w:t>
      </w:r>
      <w:r>
        <w:rPr>
          <w:rFonts w:hint="eastAsia" w:ascii="宋体" w:hAnsi="宋体" w:cs="宋体"/>
          <w:color w:val="auto"/>
          <w:sz w:val="24"/>
          <w:szCs w:val="24"/>
          <w:lang w:eastAsia="zh-CN"/>
        </w:rPr>
        <w:t>草花播种项目质量考核标准与评分依据</w:t>
      </w: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cs="宋体"/>
          <w:bCs/>
          <w:color w:val="auto"/>
          <w:sz w:val="24"/>
          <w:szCs w:val="24"/>
          <w:shd w:val="clear" w:color="auto" w:fill="FFFFFF"/>
          <w:lang w:val="en-US" w:eastAsia="zh-CN"/>
        </w:rPr>
        <w:t>《闽江公园所属园区绿化养护项目考核细则》(附件4)。</w:t>
      </w:r>
    </w:p>
    <w:p w14:paraId="722B794B">
      <w:pPr>
        <w:pStyle w:val="20"/>
        <w:keepNext w:val="0"/>
        <w:keepLines w:val="0"/>
        <w:pageBreakBefore w:val="0"/>
        <w:widowControl w:val="0"/>
        <w:kinsoku/>
        <w:wordWrap w:val="0"/>
        <w:overflowPunct/>
        <w:topLinePunct w:val="0"/>
        <w:autoSpaceDE/>
        <w:autoSpaceDN/>
        <w:bidi w:val="0"/>
        <w:adjustRightInd/>
        <w:snapToGrid/>
        <w:spacing w:line="370" w:lineRule="exact"/>
        <w:ind w:firstLine="480" w:firstLineChars="200"/>
        <w:textAlignment w:val="auto"/>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lang w:val="en-US" w:eastAsia="zh-CN"/>
        </w:rPr>
        <w:t>12</w:t>
      </w:r>
      <w:r>
        <w:rPr>
          <w:rFonts w:ascii="宋体" w:hAnsi="宋体" w:cs="宋体"/>
          <w:bCs/>
          <w:color w:val="auto"/>
          <w:sz w:val="24"/>
          <w:szCs w:val="24"/>
          <w:shd w:val="clear" w:color="auto" w:fill="FFFFFF"/>
        </w:rPr>
        <w:t>、知识产权</w:t>
      </w:r>
    </w:p>
    <w:p w14:paraId="0C054FDF">
      <w:pPr>
        <w:pStyle w:val="20"/>
        <w:keepNext w:val="0"/>
        <w:keepLines w:val="0"/>
        <w:pageBreakBefore w:val="0"/>
        <w:kinsoku/>
        <w:overflowPunct/>
        <w:topLinePunct w:val="0"/>
        <w:autoSpaceDE/>
        <w:autoSpaceDN/>
        <w:bidi w:val="0"/>
        <w:adjustRightInd/>
        <w:snapToGrid/>
        <w:spacing w:line="370" w:lineRule="exact"/>
        <w:ind w:firstLine="480" w:firstLineChars="200"/>
        <w:jc w:val="both"/>
        <w:textAlignment w:val="auto"/>
        <w:outlineLvl w:val="2"/>
        <w:rPr>
          <w:rFonts w:ascii="宋体" w:hAnsi="宋体" w:eastAsia="宋体" w:cs="宋体"/>
          <w:b/>
          <w:bCs/>
          <w:color w:val="auto"/>
          <w:sz w:val="24"/>
        </w:rPr>
      </w:pPr>
      <w:r>
        <w:rPr>
          <w:rFonts w:ascii="宋体" w:hAnsi="宋体" w:cs="宋体"/>
          <w:bCs/>
          <w:color w:val="auto"/>
          <w:sz w:val="24"/>
          <w:szCs w:val="24"/>
          <w:shd w:val="clear" w:color="auto" w:fill="FFFFFF"/>
          <w:lang w:eastAsia="zh-CN"/>
        </w:rPr>
        <w:t>中标人</w:t>
      </w:r>
      <w:r>
        <w:rPr>
          <w:rFonts w:ascii="宋体" w:hAnsi="宋体" w:eastAsia="宋体" w:cs="宋体"/>
          <w:color w:val="auto"/>
          <w:sz w:val="24"/>
          <w:szCs w:val="24"/>
        </w:rPr>
        <w:t>提供的服务或使用的产品、软件等应符合国家知识产权法律、法规的规定；</w:t>
      </w:r>
      <w:r>
        <w:rPr>
          <w:rFonts w:ascii="宋体" w:hAnsi="宋体" w:cs="宋体"/>
          <w:color w:val="auto"/>
          <w:sz w:val="24"/>
          <w:szCs w:val="24"/>
          <w:lang w:eastAsia="zh-CN"/>
        </w:rPr>
        <w:t>中标人</w:t>
      </w:r>
      <w:r>
        <w:rPr>
          <w:rFonts w:ascii="宋体" w:hAnsi="宋体" w:eastAsia="宋体" w:cs="宋体"/>
          <w:color w:val="auto"/>
          <w:sz w:val="24"/>
          <w:szCs w:val="24"/>
        </w:rPr>
        <w:t>还应保证</w:t>
      </w:r>
      <w:r>
        <w:rPr>
          <w:rFonts w:ascii="宋体" w:hAnsi="宋体" w:cs="宋体"/>
          <w:color w:val="auto"/>
          <w:sz w:val="24"/>
          <w:szCs w:val="24"/>
          <w:lang w:eastAsia="zh-CN"/>
        </w:rPr>
        <w:t>采购人</w:t>
      </w:r>
      <w:r>
        <w:rPr>
          <w:rFonts w:ascii="宋体" w:hAnsi="宋体" w:eastAsia="宋体" w:cs="宋体"/>
          <w:color w:val="auto"/>
          <w:sz w:val="24"/>
          <w:szCs w:val="24"/>
        </w:rPr>
        <w:t>不受到第三方关于侵犯知识产权及专利权、商标权或工业设计权等知识产权方面的指控，任何第三方如果提出此方面指控均与</w:t>
      </w:r>
      <w:r>
        <w:rPr>
          <w:rFonts w:ascii="宋体" w:hAnsi="宋体" w:cs="宋体"/>
          <w:color w:val="auto"/>
          <w:sz w:val="24"/>
          <w:szCs w:val="24"/>
          <w:lang w:eastAsia="zh-CN"/>
        </w:rPr>
        <w:t>采购人</w:t>
      </w:r>
      <w:r>
        <w:rPr>
          <w:rFonts w:ascii="宋体" w:hAnsi="宋体" w:eastAsia="宋体" w:cs="宋体"/>
          <w:color w:val="auto"/>
          <w:sz w:val="24"/>
          <w:szCs w:val="24"/>
        </w:rPr>
        <w:t>无关，</w:t>
      </w:r>
      <w:r>
        <w:rPr>
          <w:rFonts w:ascii="宋体" w:hAnsi="宋体" w:cs="宋体"/>
          <w:color w:val="auto"/>
          <w:sz w:val="24"/>
          <w:szCs w:val="24"/>
          <w:lang w:eastAsia="zh-CN"/>
        </w:rPr>
        <w:t>中标人</w:t>
      </w:r>
      <w:r>
        <w:rPr>
          <w:rFonts w:ascii="宋体" w:hAnsi="宋体" w:eastAsia="宋体" w:cs="宋体"/>
          <w:color w:val="auto"/>
          <w:sz w:val="24"/>
          <w:szCs w:val="24"/>
        </w:rPr>
        <w:t>应与第三方交涉，并承担可能发生的一切法律责任、费用和后果；若</w:t>
      </w:r>
      <w:r>
        <w:rPr>
          <w:rFonts w:ascii="宋体" w:hAnsi="宋体" w:cs="宋体"/>
          <w:color w:val="auto"/>
          <w:sz w:val="24"/>
          <w:szCs w:val="24"/>
          <w:lang w:eastAsia="zh-CN"/>
        </w:rPr>
        <w:t>采购人</w:t>
      </w:r>
      <w:r>
        <w:rPr>
          <w:rFonts w:ascii="宋体" w:hAnsi="宋体" w:eastAsia="宋体" w:cs="宋体"/>
          <w:color w:val="auto"/>
          <w:sz w:val="24"/>
          <w:szCs w:val="24"/>
        </w:rPr>
        <w:t>因此而遭致损失，则</w:t>
      </w:r>
      <w:r>
        <w:rPr>
          <w:rFonts w:ascii="宋体" w:hAnsi="宋体" w:cs="宋体"/>
          <w:color w:val="auto"/>
          <w:sz w:val="24"/>
          <w:szCs w:val="24"/>
          <w:lang w:eastAsia="zh-CN"/>
        </w:rPr>
        <w:t>中标人</w:t>
      </w:r>
      <w:r>
        <w:rPr>
          <w:rFonts w:ascii="宋体" w:hAnsi="宋体" w:eastAsia="宋体" w:cs="宋体"/>
          <w:color w:val="auto"/>
          <w:sz w:val="24"/>
          <w:szCs w:val="24"/>
        </w:rPr>
        <w:t>应赔偿该损失。</w:t>
      </w:r>
    </w:p>
    <w:p w14:paraId="1AE5DD42">
      <w:pPr>
        <w:pStyle w:val="20"/>
        <w:keepNext w:val="0"/>
        <w:keepLines w:val="0"/>
        <w:pageBreakBefore w:val="0"/>
        <w:kinsoku/>
        <w:overflowPunct/>
        <w:topLinePunct w:val="0"/>
        <w:autoSpaceDE/>
        <w:autoSpaceDN/>
        <w:bidi w:val="0"/>
        <w:adjustRightInd/>
        <w:snapToGrid/>
        <w:spacing w:line="370" w:lineRule="exact"/>
        <w:ind w:firstLine="482" w:firstLineChars="200"/>
        <w:jc w:val="both"/>
        <w:textAlignment w:val="auto"/>
        <w:outlineLvl w:val="2"/>
        <w:rPr>
          <w:rFonts w:ascii="宋体" w:hAnsi="宋体" w:eastAsia="宋体" w:cs="宋体"/>
          <w:b/>
          <w:bCs/>
          <w:color w:val="auto"/>
          <w:sz w:val="24"/>
        </w:rPr>
      </w:pPr>
      <w:r>
        <w:rPr>
          <w:rFonts w:ascii="宋体" w:hAnsi="宋体" w:eastAsia="宋体" w:cs="宋体"/>
          <w:b/>
          <w:bCs/>
          <w:color w:val="auto"/>
          <w:sz w:val="24"/>
        </w:rPr>
        <w:t>★注：以上“三、商务条件”均为不允许负偏离的实质性要求，若有负偏离或未响应</w:t>
      </w:r>
      <w:r>
        <w:rPr>
          <w:rFonts w:ascii="宋体" w:hAnsi="宋体" w:eastAsia="宋体" w:cs="宋体"/>
          <w:b/>
          <w:bCs/>
          <w:color w:val="auto"/>
          <w:sz w:val="24"/>
          <w:lang w:eastAsia="zh-CN"/>
        </w:rPr>
        <w:t>招标文件</w:t>
      </w:r>
      <w:r>
        <w:rPr>
          <w:rFonts w:ascii="宋体" w:hAnsi="宋体" w:eastAsia="宋体" w:cs="宋体"/>
          <w:b/>
          <w:bCs/>
          <w:color w:val="auto"/>
          <w:sz w:val="24"/>
        </w:rPr>
        <w:t>的</w:t>
      </w:r>
      <w:r>
        <w:rPr>
          <w:rFonts w:ascii="宋体" w:hAnsi="宋体" w:eastAsia="宋体" w:cs="宋体"/>
          <w:b/>
          <w:bCs/>
          <w:color w:val="auto"/>
          <w:sz w:val="24"/>
          <w:lang w:eastAsia="zh-CN"/>
        </w:rPr>
        <w:t>，</w:t>
      </w:r>
      <w:r>
        <w:rPr>
          <w:rFonts w:ascii="宋体" w:hAnsi="宋体" w:eastAsia="宋体" w:cs="宋体"/>
          <w:b/>
          <w:bCs/>
          <w:color w:val="auto"/>
          <w:sz w:val="24"/>
        </w:rPr>
        <w:t>按无效投标处理。</w:t>
      </w:r>
    </w:p>
    <w:p w14:paraId="0BA42F99">
      <w:pPr>
        <w:pStyle w:val="20"/>
        <w:keepNext w:val="0"/>
        <w:keepLines w:val="0"/>
        <w:pageBreakBefore w:val="0"/>
        <w:kinsoku/>
        <w:overflowPunct/>
        <w:topLinePunct w:val="0"/>
        <w:autoSpaceDE/>
        <w:autoSpaceDN/>
        <w:bidi w:val="0"/>
        <w:adjustRightInd/>
        <w:snapToGrid/>
        <w:spacing w:line="370" w:lineRule="exact"/>
        <w:jc w:val="both"/>
        <w:textAlignment w:val="auto"/>
        <w:outlineLvl w:val="2"/>
        <w:rPr>
          <w:rFonts w:ascii="宋体" w:hAnsi="宋体" w:eastAsia="宋体" w:cs="宋体"/>
          <w:color w:val="auto"/>
          <w:sz w:val="24"/>
          <w:szCs w:val="24"/>
        </w:rPr>
      </w:pPr>
      <w:r>
        <w:rPr>
          <w:rFonts w:ascii="宋体" w:hAnsi="宋体" w:eastAsia="宋体" w:cs="宋体"/>
          <w:b/>
          <w:color w:val="auto"/>
          <w:sz w:val="24"/>
          <w:szCs w:val="24"/>
        </w:rPr>
        <w:t>四、其他事项</w:t>
      </w:r>
    </w:p>
    <w:p w14:paraId="2E5F1FC7">
      <w:pPr>
        <w:pStyle w:val="20"/>
        <w:keepNext w:val="0"/>
        <w:keepLines w:val="0"/>
        <w:pageBreakBefore w:val="0"/>
        <w:kinsoku/>
        <w:overflowPunct/>
        <w:topLinePunct w:val="0"/>
        <w:autoSpaceDE/>
        <w:autoSpaceDN/>
        <w:bidi w:val="0"/>
        <w:adjustRightInd/>
        <w:snapToGrid/>
        <w:spacing w:line="370" w:lineRule="exact"/>
        <w:ind w:firstLine="480"/>
        <w:jc w:val="both"/>
        <w:textAlignment w:val="auto"/>
        <w:rPr>
          <w:rFonts w:ascii="宋体" w:hAnsi="宋体" w:eastAsia="宋体" w:cs="宋体"/>
          <w:color w:val="auto"/>
          <w:sz w:val="24"/>
          <w:szCs w:val="24"/>
        </w:rPr>
      </w:pPr>
      <w:r>
        <w:rPr>
          <w:rFonts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5CA454C3">
      <w:pPr>
        <w:pStyle w:val="20"/>
        <w:keepNext w:val="0"/>
        <w:keepLines w:val="0"/>
        <w:pageBreakBefore w:val="0"/>
        <w:kinsoku/>
        <w:overflowPunct/>
        <w:topLinePunct w:val="0"/>
        <w:autoSpaceDE/>
        <w:autoSpaceDN/>
        <w:bidi w:val="0"/>
        <w:adjustRightInd/>
        <w:snapToGrid/>
        <w:spacing w:line="370" w:lineRule="exact"/>
        <w:ind w:firstLine="480"/>
        <w:jc w:val="both"/>
        <w:textAlignment w:val="auto"/>
        <w:rPr>
          <w:rFonts w:ascii="宋体" w:hAnsi="宋体" w:eastAsia="宋体" w:cs="宋体"/>
          <w:color w:val="auto"/>
        </w:rPr>
      </w:pPr>
      <w:r>
        <w:rPr>
          <w:rFonts w:ascii="宋体" w:hAnsi="宋体" w:eastAsia="宋体" w:cs="宋体"/>
          <w:color w:val="auto"/>
          <w:sz w:val="24"/>
          <w:szCs w:val="24"/>
        </w:rPr>
        <w:t>2、其他：</w:t>
      </w:r>
      <w:r>
        <w:rPr>
          <w:rFonts w:ascii="宋体" w:hAnsi="宋体" w:eastAsia="宋体" w:cs="宋体"/>
          <w:color w:val="auto"/>
          <w:sz w:val="24"/>
          <w:szCs w:val="24"/>
          <w:lang w:eastAsia="zh-CN"/>
        </w:rPr>
        <w:t>2.1</w:t>
      </w:r>
      <w:r>
        <w:rPr>
          <w:rFonts w:ascii="宋体" w:hAnsi="宋体" w:eastAsia="宋体" w:cs="宋体"/>
          <w:color w:val="auto"/>
          <w:sz w:val="24"/>
          <w:szCs w:val="24"/>
        </w:rPr>
        <w:t>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r>
        <w:rPr>
          <w:rFonts w:ascii="宋体" w:hAnsi="宋体" w:eastAsia="宋体" w:cs="宋体"/>
          <w:bCs/>
          <w:color w:val="auto"/>
          <w:sz w:val="24"/>
          <w:szCs w:val="24"/>
        </w:rPr>
        <w:t>2.</w:t>
      </w:r>
      <w:r>
        <w:rPr>
          <w:rFonts w:ascii="宋体" w:hAnsi="宋体" w:eastAsia="宋体" w:cs="宋体"/>
          <w:bCs/>
          <w:color w:val="auto"/>
          <w:sz w:val="24"/>
          <w:szCs w:val="24"/>
          <w:lang w:eastAsia="zh-CN"/>
        </w:rPr>
        <w:t>2</w:t>
      </w:r>
      <w:r>
        <w:rPr>
          <w:rFonts w:ascii="宋体" w:hAnsi="宋体" w:eastAsia="宋体" w:cs="宋体"/>
          <w:bCs/>
          <w:color w:val="auto"/>
          <w:sz w:val="24"/>
          <w:szCs w:val="24"/>
        </w:rPr>
        <w:t>本招标文件未明确的其它约定事项或条款，待采购人与投标人签订合同时，由双方协商订立。</w:t>
      </w:r>
    </w:p>
    <w:p w14:paraId="56769595">
      <w:pPr>
        <w:pStyle w:val="20"/>
        <w:rPr>
          <w:rFonts w:ascii="宋体" w:hAnsi="宋体" w:eastAsia="宋体" w:cs="宋体"/>
          <w:color w:val="auto"/>
        </w:rPr>
      </w:pPr>
    </w:p>
    <w:p w14:paraId="2AFA29EB">
      <w:pPr>
        <w:pStyle w:val="20"/>
        <w:jc w:val="center"/>
        <w:outlineLvl w:val="1"/>
        <w:rPr>
          <w:rFonts w:ascii="宋体" w:hAnsi="宋体" w:eastAsia="宋体" w:cs="宋体"/>
          <w:b/>
          <w:color w:val="auto"/>
          <w:sz w:val="36"/>
        </w:rPr>
        <w:sectPr>
          <w:footerReference r:id="rId3" w:type="default"/>
          <w:pgSz w:w="11906" w:h="16838"/>
          <w:pgMar w:top="1240" w:right="1066" w:bottom="1440" w:left="1380" w:header="851" w:footer="992" w:gutter="0"/>
          <w:pgNumType w:start="1"/>
          <w:cols w:space="425" w:num="1"/>
          <w:docGrid w:type="lines" w:linePitch="312" w:charSpace="0"/>
        </w:sectPr>
      </w:pPr>
    </w:p>
    <w:p w14:paraId="4A2B43FC">
      <w:pPr>
        <w:pStyle w:val="20"/>
        <w:jc w:val="center"/>
        <w:outlineLvl w:val="1"/>
        <w:rPr>
          <w:rFonts w:ascii="宋体" w:hAnsi="宋体" w:eastAsia="宋体" w:cs="宋体"/>
          <w:color w:val="auto"/>
        </w:rPr>
      </w:pPr>
      <w:r>
        <w:rPr>
          <w:rFonts w:ascii="宋体" w:hAnsi="宋体" w:eastAsia="宋体" w:cs="宋体"/>
          <w:b/>
          <w:color w:val="auto"/>
          <w:sz w:val="36"/>
        </w:rPr>
        <w:t>第六章 政府采购合同</w:t>
      </w:r>
    </w:p>
    <w:p w14:paraId="621D115F">
      <w:pPr>
        <w:pStyle w:val="20"/>
        <w:jc w:val="center"/>
        <w:outlineLvl w:val="2"/>
        <w:rPr>
          <w:rFonts w:ascii="宋体" w:hAnsi="宋体" w:eastAsia="宋体" w:cs="宋体"/>
          <w:color w:val="auto"/>
        </w:rPr>
      </w:pPr>
      <w:r>
        <w:rPr>
          <w:rFonts w:ascii="宋体" w:hAnsi="宋体" w:eastAsia="宋体" w:cs="宋体"/>
          <w:b/>
          <w:color w:val="auto"/>
          <w:sz w:val="28"/>
        </w:rPr>
        <w:t>参考文本</w:t>
      </w:r>
    </w:p>
    <w:p w14:paraId="5151C428">
      <w:pPr>
        <w:pStyle w:val="12"/>
        <w:widowControl/>
        <w:shd w:val="clear" w:color="auto" w:fill="FFFFFF"/>
        <w:spacing w:beforeAutospacing="0" w:afterAutospacing="0" w:line="30" w:lineRule="atLeast"/>
        <w:ind w:firstLine="420"/>
        <w:jc w:val="both"/>
        <w:rPr>
          <w:rFonts w:hint="eastAsia" w:ascii="宋体" w:hAnsi="宋体" w:cs="宋体"/>
          <w:b/>
          <w:bCs/>
          <w:color w:val="auto"/>
        </w:rPr>
      </w:pPr>
      <w:r>
        <w:rPr>
          <w:rFonts w:hint="eastAsia" w:ascii="宋体" w:hAnsi="宋体" w:cs="宋体"/>
          <w:b/>
          <w:bCs/>
          <w:color w:val="auto"/>
          <w:shd w:val="clear" w:color="auto" w:fill="FFFFFF"/>
        </w:rPr>
        <w:t>合同编号：</w:t>
      </w:r>
    </w:p>
    <w:p w14:paraId="4B759D6D">
      <w:pPr>
        <w:pStyle w:val="3"/>
        <w:widowControl/>
        <w:shd w:val="clear" w:color="auto" w:fill="FFFFFF"/>
        <w:spacing w:beforeAutospacing="0" w:after="300" w:afterAutospacing="0" w:line="30" w:lineRule="atLeast"/>
        <w:jc w:val="center"/>
        <w:rPr>
          <w:rFonts w:cs="宋体"/>
          <w:color w:val="auto"/>
        </w:rPr>
      </w:pPr>
      <w:r>
        <w:rPr>
          <w:rFonts w:cs="宋体"/>
          <w:color w:val="auto"/>
          <w:shd w:val="clear" w:color="auto" w:fill="FFFFFF"/>
        </w:rPr>
        <w:t>福建省政府采购合同（服务类）</w:t>
      </w:r>
    </w:p>
    <w:p w14:paraId="1EF4AEA3">
      <w:pPr>
        <w:pStyle w:val="4"/>
        <w:widowControl/>
        <w:shd w:val="clear" w:color="auto" w:fill="FFFFFF"/>
        <w:spacing w:beforeAutospacing="0" w:afterAutospacing="0" w:line="30" w:lineRule="atLeast"/>
        <w:jc w:val="center"/>
        <w:rPr>
          <w:rFonts w:cs="宋体"/>
          <w:color w:val="auto"/>
        </w:rPr>
      </w:pPr>
      <w:r>
        <w:rPr>
          <w:rFonts w:cs="宋体"/>
          <w:color w:val="auto"/>
          <w:shd w:val="clear" w:color="auto" w:fill="FFFFFF"/>
        </w:rPr>
        <w:t>编制说明</w:t>
      </w:r>
    </w:p>
    <w:p w14:paraId="4EB49502">
      <w:pPr>
        <w:widowControl/>
        <w:jc w:val="left"/>
        <w:rPr>
          <w:color w:val="auto"/>
        </w:rPr>
      </w:pPr>
    </w:p>
    <w:p w14:paraId="5B7A30CD">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1.签订合同应遵守《中华人民共和国政府采购法》及其实施条例、《中华人民共和国民法典》等法律法规及其他有关规定。</w:t>
      </w:r>
    </w:p>
    <w:p w14:paraId="5E1A231C">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2.签订合同时，采购人与中标(成交)人应结合采购文件规定填列相应内容。采购文件已有约定的，双方均不得对约定进行变更或调整；采购文件未作规定的，双方可通过友好协商进行约定。</w:t>
      </w:r>
    </w:p>
    <w:p w14:paraId="4E48C848">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3.政府有关主管部门对若干合同有规范文本的，可使用相应合同文本。</w:t>
      </w:r>
    </w:p>
    <w:p w14:paraId="3484AF55">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4.本合同范本仅供参考，采购人应当根据采购项目的实际需求对合同条款进行修改、补充。</w:t>
      </w:r>
    </w:p>
    <w:p w14:paraId="08D3A0C3">
      <w:pPr>
        <w:pStyle w:val="12"/>
        <w:widowControl/>
        <w:spacing w:beforeAutospacing="0" w:afterAutospacing="0" w:line="360" w:lineRule="exact"/>
        <w:jc w:val="both"/>
        <w:rPr>
          <w:rFonts w:hint="eastAsia" w:ascii="宋体" w:hAnsi="宋体" w:cs="宋体"/>
          <w:color w:val="auto"/>
          <w:shd w:val="clear" w:color="auto" w:fill="FFFFFF"/>
        </w:rPr>
      </w:pPr>
    </w:p>
    <w:p w14:paraId="05CC1C05">
      <w:pPr>
        <w:pStyle w:val="12"/>
        <w:widowControl/>
        <w:spacing w:beforeAutospacing="0" w:afterAutospacing="0" w:line="360" w:lineRule="exact"/>
        <w:jc w:val="both"/>
        <w:rPr>
          <w:color w:val="auto"/>
        </w:rPr>
      </w:pPr>
      <w:r>
        <w:rPr>
          <w:rFonts w:hint="eastAsia" w:ascii="宋体" w:hAnsi="宋体" w:cs="宋体"/>
          <w:color w:val="auto"/>
          <w:shd w:val="clear" w:color="auto" w:fill="FFFFFF"/>
        </w:rPr>
        <w:t>甲方：</w:t>
      </w:r>
    </w:p>
    <w:p w14:paraId="7732319F">
      <w:pPr>
        <w:pStyle w:val="12"/>
        <w:widowControl/>
        <w:spacing w:beforeAutospacing="0" w:afterAutospacing="0" w:line="360" w:lineRule="exact"/>
        <w:jc w:val="both"/>
        <w:rPr>
          <w:color w:val="auto"/>
        </w:rPr>
      </w:pPr>
      <w:r>
        <w:rPr>
          <w:rFonts w:hint="eastAsia" w:ascii="宋体" w:hAnsi="宋体" w:cs="宋体"/>
          <w:color w:val="auto"/>
          <w:shd w:val="clear" w:color="auto" w:fill="FFFFFF"/>
        </w:rPr>
        <w:t>住所地：________________</w:t>
      </w:r>
    </w:p>
    <w:p w14:paraId="484C2D86">
      <w:pPr>
        <w:pStyle w:val="12"/>
        <w:widowControl/>
        <w:spacing w:beforeAutospacing="0" w:afterAutospacing="0" w:line="360" w:lineRule="exact"/>
        <w:jc w:val="both"/>
        <w:rPr>
          <w:color w:val="auto"/>
        </w:rPr>
      </w:pPr>
      <w:r>
        <w:rPr>
          <w:rFonts w:hint="eastAsia" w:ascii="宋体" w:hAnsi="宋体" w:cs="宋体"/>
          <w:color w:val="auto"/>
          <w:shd w:val="clear" w:color="auto" w:fill="FFFFFF"/>
        </w:rPr>
        <w:t>联系人：________________</w:t>
      </w:r>
    </w:p>
    <w:p w14:paraId="58D7022C">
      <w:pPr>
        <w:pStyle w:val="12"/>
        <w:widowControl/>
        <w:spacing w:beforeAutospacing="0" w:afterAutospacing="0" w:line="360" w:lineRule="exact"/>
        <w:jc w:val="both"/>
        <w:rPr>
          <w:color w:val="auto"/>
        </w:rPr>
      </w:pPr>
      <w:r>
        <w:rPr>
          <w:rFonts w:hint="eastAsia" w:ascii="宋体" w:hAnsi="宋体" w:cs="宋体"/>
          <w:color w:val="auto"/>
          <w:shd w:val="clear" w:color="auto" w:fill="FFFFFF"/>
        </w:rPr>
        <w:t>联系电话：______________</w:t>
      </w:r>
    </w:p>
    <w:p w14:paraId="2A316D7F">
      <w:pPr>
        <w:pStyle w:val="12"/>
        <w:widowControl/>
        <w:spacing w:beforeAutospacing="0" w:afterAutospacing="0" w:line="360" w:lineRule="exact"/>
        <w:jc w:val="both"/>
        <w:rPr>
          <w:color w:val="auto"/>
        </w:rPr>
      </w:pPr>
      <w:r>
        <w:rPr>
          <w:rFonts w:hint="eastAsia" w:ascii="宋体" w:hAnsi="宋体" w:cs="宋体"/>
          <w:color w:val="auto"/>
          <w:shd w:val="clear" w:color="auto" w:fill="FFFFFF"/>
        </w:rPr>
        <w:t>传真：________________</w:t>
      </w:r>
    </w:p>
    <w:p w14:paraId="06B3A9EE">
      <w:pPr>
        <w:pStyle w:val="12"/>
        <w:widowControl/>
        <w:spacing w:beforeAutospacing="0" w:afterAutospacing="0" w:line="360" w:lineRule="exact"/>
        <w:jc w:val="both"/>
        <w:rPr>
          <w:color w:val="auto"/>
        </w:rPr>
      </w:pPr>
      <w:r>
        <w:rPr>
          <w:rFonts w:hint="eastAsia" w:ascii="宋体" w:hAnsi="宋体" w:cs="宋体"/>
          <w:color w:val="auto"/>
          <w:shd w:val="clear" w:color="auto" w:fill="FFFFFF"/>
        </w:rPr>
        <w:t>电子邮箱：________________</w:t>
      </w:r>
    </w:p>
    <w:p w14:paraId="7F277152">
      <w:pPr>
        <w:widowControl/>
        <w:spacing w:line="360" w:lineRule="exact"/>
        <w:jc w:val="left"/>
        <w:rPr>
          <w:color w:val="auto"/>
        </w:rPr>
      </w:pPr>
    </w:p>
    <w:p w14:paraId="088C1CA2">
      <w:pPr>
        <w:pStyle w:val="12"/>
        <w:widowControl/>
        <w:spacing w:beforeAutospacing="0" w:afterAutospacing="0" w:line="360" w:lineRule="exact"/>
        <w:jc w:val="both"/>
        <w:rPr>
          <w:color w:val="auto"/>
        </w:rPr>
      </w:pPr>
      <w:r>
        <w:rPr>
          <w:rFonts w:hint="eastAsia" w:ascii="宋体" w:hAnsi="宋体" w:cs="宋体"/>
          <w:color w:val="auto"/>
          <w:shd w:val="clear" w:color="auto" w:fill="FFFFFF"/>
        </w:rPr>
        <w:t>乙方： ________________</w:t>
      </w:r>
    </w:p>
    <w:p w14:paraId="5927489B">
      <w:pPr>
        <w:pStyle w:val="12"/>
        <w:widowControl/>
        <w:spacing w:beforeAutospacing="0" w:afterAutospacing="0" w:line="360" w:lineRule="exact"/>
        <w:jc w:val="both"/>
        <w:rPr>
          <w:rFonts w:hint="eastAsia" w:ascii="宋体" w:hAnsi="宋体" w:cs="宋体"/>
          <w:color w:val="auto"/>
          <w:shd w:val="clear" w:color="auto" w:fill="FFFFFF"/>
        </w:rPr>
      </w:pPr>
      <w:r>
        <w:rPr>
          <w:rFonts w:hint="eastAsia" w:ascii="宋体" w:hAnsi="宋体" w:cs="宋体"/>
          <w:color w:val="auto"/>
          <w:shd w:val="clear" w:color="auto" w:fill="FFFFFF"/>
        </w:rPr>
        <w:t>住所地：________________</w:t>
      </w:r>
    </w:p>
    <w:p w14:paraId="7A480C9F">
      <w:pPr>
        <w:pStyle w:val="12"/>
        <w:widowControl/>
        <w:spacing w:beforeAutospacing="0" w:afterAutospacing="0" w:line="360" w:lineRule="exact"/>
        <w:jc w:val="both"/>
        <w:rPr>
          <w:color w:val="auto"/>
        </w:rPr>
      </w:pPr>
      <w:r>
        <w:rPr>
          <w:rFonts w:hint="eastAsia" w:ascii="宋体" w:hAnsi="宋体" w:cs="宋体"/>
          <w:color w:val="auto"/>
          <w:shd w:val="clear" w:color="auto" w:fill="FFFFFF"/>
        </w:rPr>
        <w:t>联系人：_______________</w:t>
      </w:r>
    </w:p>
    <w:p w14:paraId="7C84C703">
      <w:pPr>
        <w:pStyle w:val="12"/>
        <w:widowControl/>
        <w:spacing w:beforeAutospacing="0" w:afterAutospacing="0" w:line="360" w:lineRule="exact"/>
        <w:jc w:val="both"/>
        <w:rPr>
          <w:color w:val="auto"/>
        </w:rPr>
      </w:pPr>
      <w:r>
        <w:rPr>
          <w:rFonts w:hint="eastAsia" w:ascii="宋体" w:hAnsi="宋体" w:cs="宋体"/>
          <w:color w:val="auto"/>
          <w:shd w:val="clear" w:color="auto" w:fill="FFFFFF"/>
        </w:rPr>
        <w:t>联系电话：_______________</w:t>
      </w:r>
    </w:p>
    <w:p w14:paraId="2798D384">
      <w:pPr>
        <w:pStyle w:val="12"/>
        <w:widowControl/>
        <w:spacing w:beforeAutospacing="0" w:afterAutospacing="0" w:line="360" w:lineRule="exact"/>
        <w:jc w:val="both"/>
        <w:rPr>
          <w:color w:val="auto"/>
        </w:rPr>
      </w:pPr>
      <w:r>
        <w:rPr>
          <w:rFonts w:hint="eastAsia" w:ascii="宋体" w:hAnsi="宋体" w:cs="宋体"/>
          <w:color w:val="auto"/>
          <w:shd w:val="clear" w:color="auto" w:fill="FFFFFF"/>
        </w:rPr>
        <w:t>传真：_______________</w:t>
      </w:r>
    </w:p>
    <w:p w14:paraId="5B2EFEF3">
      <w:pPr>
        <w:pStyle w:val="12"/>
        <w:widowControl/>
        <w:spacing w:beforeAutospacing="0" w:afterAutospacing="0" w:line="360" w:lineRule="exact"/>
        <w:jc w:val="both"/>
        <w:rPr>
          <w:color w:val="auto"/>
        </w:rPr>
      </w:pPr>
      <w:r>
        <w:rPr>
          <w:rFonts w:hint="eastAsia" w:ascii="宋体" w:hAnsi="宋体" w:cs="宋体"/>
          <w:color w:val="auto"/>
          <w:shd w:val="clear" w:color="auto" w:fill="FFFFFF"/>
        </w:rPr>
        <w:t>电子邮箱：_______________</w:t>
      </w:r>
    </w:p>
    <w:p w14:paraId="00150D33">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根据项目编号为__________ 的 _________项目（以下简称：“本项目”）的采购结果，遵循平等、自愿、公平和诚实信用的原则，双方签署本合同，具体内容如下：</w:t>
      </w:r>
    </w:p>
    <w:p w14:paraId="4D0271C2">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一、合同组成部分</w:t>
      </w:r>
    </w:p>
    <w:p w14:paraId="26BCC7AD">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1.1本合同条款及附件；</w:t>
      </w:r>
    </w:p>
    <w:p w14:paraId="7B6792D2">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1.2采购文件及其附件、补充文件；</w:t>
      </w:r>
    </w:p>
    <w:p w14:paraId="3C30F0AB">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1.3乙方的响应文件及其附件、补充文件；</w:t>
      </w:r>
    </w:p>
    <w:p w14:paraId="7F7264DF">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1.4其他文件或材料：</w:t>
      </w:r>
    </w:p>
    <w:p w14:paraId="2E67EFFA">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二、合同标的</w:t>
      </w:r>
    </w:p>
    <w:p w14:paraId="162E3ED6">
      <w:pPr>
        <w:widowControl/>
        <w:spacing w:line="360" w:lineRule="exact"/>
        <w:jc w:val="left"/>
        <w:rPr>
          <w:color w:val="auto"/>
        </w:rPr>
      </w:pPr>
    </w:p>
    <w:p w14:paraId="70FD2E23">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三、价格形式及合同价款</w:t>
      </w:r>
    </w:p>
    <w:p w14:paraId="68C4A584">
      <w:pPr>
        <w:pStyle w:val="5"/>
        <w:widowControl/>
        <w:shd w:val="clear" w:color="auto" w:fill="FFFFFF"/>
        <w:spacing w:beforeAutospacing="0" w:afterAutospacing="0" w:line="360" w:lineRule="exact"/>
        <w:ind w:firstLine="420"/>
        <w:jc w:val="both"/>
        <w:rPr>
          <w:rFonts w:cs="宋体"/>
          <w:color w:val="auto"/>
          <w:sz w:val="24"/>
          <w:szCs w:val="24"/>
        </w:rPr>
      </w:pPr>
      <w:r>
        <w:rPr>
          <w:rFonts w:cs="宋体"/>
          <w:color w:val="auto"/>
          <w:sz w:val="24"/>
          <w:szCs w:val="24"/>
          <w:shd w:val="clear" w:color="auto" w:fill="FFFFFF"/>
        </w:rPr>
        <w:t>3.1价格形式</w:t>
      </w:r>
    </w:p>
    <w:p w14:paraId="5BD96EA8">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 固定单价合同。完成约定服务事项的含税合同单价为：人民币（大写）元（￥_____________元）。</w:t>
      </w:r>
    </w:p>
    <w:p w14:paraId="7D3D03FB">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 固定总价合同。完成约定服务事项的含税服务费用为：人民币（大写）元（￥_____________元）。</w:t>
      </w:r>
    </w:p>
    <w:p w14:paraId="2302DEAD">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 其他方式。</w:t>
      </w:r>
    </w:p>
    <w:p w14:paraId="31072A59">
      <w:pPr>
        <w:pStyle w:val="5"/>
        <w:widowControl/>
        <w:shd w:val="clear" w:color="auto" w:fill="FFFFFF"/>
        <w:spacing w:beforeAutospacing="0" w:afterAutospacing="0" w:line="360" w:lineRule="exact"/>
        <w:ind w:firstLine="420"/>
        <w:jc w:val="both"/>
        <w:rPr>
          <w:rFonts w:cs="宋体"/>
          <w:color w:val="auto"/>
          <w:sz w:val="24"/>
          <w:szCs w:val="24"/>
        </w:rPr>
      </w:pPr>
      <w:r>
        <w:rPr>
          <w:rFonts w:cs="宋体"/>
          <w:color w:val="auto"/>
          <w:sz w:val="24"/>
          <w:szCs w:val="24"/>
          <w:shd w:val="clear" w:color="auto" w:fill="FFFFFF"/>
        </w:rPr>
        <w:t>3.2合同价款包含范围</w:t>
      </w:r>
    </w:p>
    <w:p w14:paraId="0D928B4F">
      <w:pPr>
        <w:pStyle w:val="5"/>
        <w:widowControl/>
        <w:shd w:val="clear" w:color="auto" w:fill="FFFFFF"/>
        <w:spacing w:beforeAutospacing="0" w:afterAutospacing="0" w:line="360" w:lineRule="exact"/>
        <w:ind w:firstLine="420"/>
        <w:jc w:val="both"/>
        <w:textAlignment w:val="center"/>
        <w:rPr>
          <w:rFonts w:cs="宋体"/>
          <w:color w:val="auto"/>
          <w:sz w:val="24"/>
          <w:szCs w:val="24"/>
        </w:rPr>
      </w:pPr>
      <w:r>
        <w:rPr>
          <w:rFonts w:cs="宋体"/>
          <w:color w:val="auto"/>
          <w:sz w:val="24"/>
          <w:szCs w:val="24"/>
          <w:shd w:val="clear" w:color="auto" w:fill="FFFFFF"/>
        </w:rPr>
        <w:t>3.3其他需说明的事项：</w:t>
      </w:r>
    </w:p>
    <w:p w14:paraId="229BF5ED">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四、合同标的及服务范围、地点和时间</w:t>
      </w:r>
    </w:p>
    <w:p w14:paraId="33526448">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4.1项目名称： _______________</w:t>
      </w:r>
    </w:p>
    <w:p w14:paraId="6ABE301B">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4.2服务范围：_____________</w:t>
      </w:r>
    </w:p>
    <w:p w14:paraId="5FCB895E">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4.3服务地点：_____________</w:t>
      </w:r>
    </w:p>
    <w:p w14:paraId="262BFF08">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4.4服务完成时间：_____________</w:t>
      </w:r>
    </w:p>
    <w:p w14:paraId="1ED1CCE1">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五、服务内容、质量标准和要求</w:t>
      </w:r>
    </w:p>
    <w:p w14:paraId="6D95B28E">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5.1服务工作量的计量方式：_____________</w:t>
      </w:r>
    </w:p>
    <w:p w14:paraId="52266ECA">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5.2服务内容：_____________</w:t>
      </w:r>
    </w:p>
    <w:p w14:paraId="223ED119">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5.3技术保障、服务人员组成、所涉及的货物的质量标准：</w:t>
      </w:r>
    </w:p>
    <w:p w14:paraId="4D6F0747">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（1）服务技术保障：_____________</w:t>
      </w:r>
    </w:p>
    <w:p w14:paraId="39E7DEEE">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（2）服务人员组成：_____________</w:t>
      </w:r>
    </w:p>
    <w:p w14:paraId="7CBD0761">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（3）服务设备及物资投入及质量标准：_____________</w:t>
      </w:r>
    </w:p>
    <w:p w14:paraId="244C4EC8">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5.4服务质量标准及要求：</w:t>
      </w:r>
    </w:p>
    <w:p w14:paraId="74C0439F">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82EE183">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FA35895">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5.4.3其他要求：</w:t>
      </w:r>
    </w:p>
    <w:p w14:paraId="5753D952">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六、服务履约验收或考核</w:t>
      </w:r>
    </w:p>
    <w:p w14:paraId="5C5E2D8D">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甲方按照采购文件、乙方的投标或响应文件和本协议约定的服务内容及质量要求按次组织对乙方所提供服务进行验收，或定期进行服务考核，并根据验收或考核结果支付服务费用。具体如下：</w:t>
      </w:r>
    </w:p>
    <w:p w14:paraId="7CA04EE9">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七、甲方的权利与义务</w:t>
      </w:r>
    </w:p>
    <w:p w14:paraId="4E79F83A">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7.1甲方委派___________为联系人，联系方式 ___________，负责与乙方联系。如甲方联系人发生变更，甲方应书面告知乙方。</w:t>
      </w:r>
    </w:p>
    <w:p w14:paraId="2377F9E3">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7.2甲方应为乙方开展服务工作提供必要的工作条件，以及对内对外沟通和配合协助。</w:t>
      </w:r>
    </w:p>
    <w:p w14:paraId="39A5A5F9">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7.3甲方应于___________之前提供服务所需的全部资料，并对所提供材料真实性、完整性、合法性负责。</w:t>
      </w:r>
    </w:p>
    <w:p w14:paraId="545E3E6D">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B98DE2F">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7.5甲方应按本合同约定及时足额支付服务费用及相关费用。</w:t>
      </w:r>
    </w:p>
    <w:p w14:paraId="324C2820">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7.6其他</w:t>
      </w:r>
    </w:p>
    <w:p w14:paraId="5F0DF504">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八、乙方的权利与义务</w:t>
      </w:r>
    </w:p>
    <w:p w14:paraId="55E052C2">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8.1乙方委派___________为联系人，联系方式 ___________，负责与甲方联系。如乙方联系人发生变更，乙方应书面告知甲方</w:t>
      </w:r>
    </w:p>
    <w:p w14:paraId="4658C8F4">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8.2乙方应国家法律法规和{{乙方的权利与义务-响应要求-福建}}等要求开展{{乙方的权利与义务-开展服务-福建}}服务；</w:t>
      </w:r>
    </w:p>
    <w:p w14:paraId="6BBC2457">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8.3乙方及其所委派服务人员应按标准或协议约定方式出具服务成果，并对其真实性和合法性负法律责任；</w:t>
      </w:r>
    </w:p>
    <w:p w14:paraId="4AF7AEDC">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8.4乙方对执行业务过程中知悉的国家秘密或甲方的商业秘密保密。除非国家法律法规及行业规范另有规定,或经甲方同意,乙方不得将其知悉的商业秘密和甲方提供的资料对外泄露。</w:t>
      </w:r>
    </w:p>
    <w:p w14:paraId="568B5A10">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8.5乙方对服务业务应当单独建档，保存完整的工作记录，并对服务过程使用和暂存甲方的文件、材料和财物应当妥善保管。</w:t>
      </w:r>
    </w:p>
    <w:p w14:paraId="5D8385B9">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8.6服务工作结束后,乙方将根据情况对甲方服务相关的管理制度及其他事项等提出改进意见。</w:t>
      </w:r>
    </w:p>
    <w:p w14:paraId="0A626340">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8.7乙方完全遵守《中华人民共和国劳动合同法》有关规定和《中华人民共和国妇女权益保障法》中关于“劳动和社会保障权益”的有关要求。</w:t>
      </w:r>
    </w:p>
    <w:p w14:paraId="79F86B1A">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8.8其他</w:t>
      </w:r>
    </w:p>
    <w:p w14:paraId="6912A2D7">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九、资金支付方式、时间和条件</w:t>
      </w:r>
    </w:p>
    <w:p w14:paraId="711E81D1">
      <w:pPr>
        <w:widowControl/>
        <w:spacing w:line="360" w:lineRule="exact"/>
        <w:jc w:val="left"/>
        <w:rPr>
          <w:color w:val="auto"/>
        </w:rPr>
      </w:pPr>
    </w:p>
    <w:p w14:paraId="0DE28493">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十、履约保证金</w:t>
      </w:r>
    </w:p>
    <w:p w14:paraId="05FB3E9C">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□有，□无。具体如下：（按照采购文件规定填写）。</w:t>
      </w:r>
    </w:p>
    <w:p w14:paraId="7B52348D">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10.1乙方向甲方缴纳人民币 / 元作为本合同的履约保证金。</w:t>
      </w:r>
    </w:p>
    <w:p w14:paraId="79F3A174">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10.2履约保证金缴纳形式：支票/汇票/电汇/保函等非现金形式。</w:t>
      </w:r>
    </w:p>
    <w:p w14:paraId="63597C54">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10.3履约保证金合同履行完毕前有效，合同履行完毕后一次性结清退还。</w:t>
      </w:r>
    </w:p>
    <w:p w14:paraId="2682FA3A">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十一、合同期限</w:t>
      </w:r>
    </w:p>
    <w:p w14:paraId="3124F273">
      <w:pPr>
        <w:widowControl/>
        <w:spacing w:line="360" w:lineRule="exact"/>
        <w:jc w:val="left"/>
        <w:rPr>
          <w:color w:val="auto"/>
        </w:rPr>
      </w:pPr>
    </w:p>
    <w:p w14:paraId="620D52D4">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十二、保密条款</w:t>
      </w:r>
    </w:p>
    <w:p w14:paraId="415A8164">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12.1对于在采购和合同履行过程中所获悉的属于保密的内容，甲、乙双方均负有保密义务。</w:t>
      </w:r>
    </w:p>
    <w:p w14:paraId="0B62553D">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12.2其他</w:t>
      </w:r>
    </w:p>
    <w:p w14:paraId="0FB67310">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十三、违约责任</w:t>
      </w:r>
    </w:p>
    <w:p w14:paraId="57D54F74">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13.1甲方违约责任</w:t>
      </w:r>
    </w:p>
    <w:p w14:paraId="5F1BCFAC">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（1）甲方无正当理由拒绝乙方提供合格服务的，甲方应向乙方偿付所拒收合同总价________的违约金</w:t>
      </w:r>
    </w:p>
    <w:p w14:paraId="668672B3">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（2）甲方无故逾期验收和办理合同款项支付手续的,甲方应按逾期付款总额每日________向乙方支付违约金。</w:t>
      </w:r>
    </w:p>
    <w:p w14:paraId="08AA1CB2">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（3）其他违约情形</w:t>
      </w:r>
    </w:p>
    <w:p w14:paraId="3E5544C0">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13.2乙方违约责任</w:t>
      </w:r>
    </w:p>
    <w:p w14:paraId="55E6DF26">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（1）乙方逾期履行服务的，乙方应按逾期交付总额每日________向甲方支付违约金，由甲方从待付货款中扣除。乙方无正当理由逾期超过约定日期________仍不能交付的，视为“乙方不按合同约定履约”；</w:t>
      </w:r>
    </w:p>
    <w:p w14:paraId="3AB616D8">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（2）乙方所履行的服务不符合合同规定及《采购文件》规定标准的，甲方有权拒绝，乙方愿意整改但逾期履行的，按乙方逾期履行处理。乙方拒绝整改的，视为“乙方不按合同约定履约”</w:t>
      </w:r>
    </w:p>
    <w:p w14:paraId="15F4C931">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（3）乙方不按合同约定履约的，甲方可以解除采购合同，并对乙方已缴纳的履约保证金作“不予退还”处理。同时，乙方须按以下约定向甲方支付违约金：</w:t>
      </w:r>
    </w:p>
    <w:p w14:paraId="1B993741">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（4）其他违约情形</w:t>
      </w:r>
    </w:p>
    <w:p w14:paraId="2FB9D421">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十四、不可抗力事件处理</w:t>
      </w:r>
    </w:p>
    <w:p w14:paraId="3E27FC30">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97BD6">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十五、解决争议的方法</w:t>
      </w:r>
    </w:p>
    <w:p w14:paraId="630D01F3">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15.1甲、乙双方协商解决。</w:t>
      </w:r>
    </w:p>
    <w:p w14:paraId="4BC3F4D4">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15.2若协商解决不成，双方明确按以下第_种方式解决：</w:t>
      </w:r>
    </w:p>
    <w:p w14:paraId="081DE233">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1、提交仲裁委员会仲裁，具体如下：</w:t>
      </w:r>
    </w:p>
    <w:p w14:paraId="430C915F">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2、向人民法院提起诉讼。</w:t>
      </w:r>
    </w:p>
    <w:p w14:paraId="0199AF73">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十六、合同其他条款</w:t>
      </w:r>
    </w:p>
    <w:p w14:paraId="4E5B55DA">
      <w:pPr>
        <w:widowControl/>
        <w:spacing w:line="360" w:lineRule="exact"/>
        <w:jc w:val="left"/>
        <w:rPr>
          <w:color w:val="auto"/>
        </w:rPr>
      </w:pPr>
    </w:p>
    <w:p w14:paraId="467B6649">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十七、其他约定</w:t>
      </w:r>
    </w:p>
    <w:p w14:paraId="570E920E">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17.1合同文件与本合同具有同等法律效力。</w:t>
      </w:r>
    </w:p>
    <w:p w14:paraId="4A2E0940">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E673C4C">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17.3本合同未尽事宜，遵照《中华人民共和国民法典》有关条文执行。</w:t>
      </w:r>
    </w:p>
    <w:p w14:paraId="3BA03059">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17.4本合同正本一式_______份，具有同等法律效力，甲方、乙方各执_______份；副本_______份，_______</w:t>
      </w:r>
    </w:p>
    <w:p w14:paraId="4CF7CACC">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17.5本合同已用于政府采购合同融资，为本项目提供合同融资的金融机构为：_______，甲方应及时将资金支付到本合同乙方账号。</w:t>
      </w:r>
    </w:p>
    <w:p w14:paraId="69DEA659">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中标（成交）供应商应于采购合同签订之日起_______内，向发放政采贷的金融机构提交政府采购中标（成交）通知书和政府采购合同，贷款金额以政府采购合同金额为限。</w:t>
      </w:r>
    </w:p>
    <w:p w14:paraId="177A0F09">
      <w:pPr>
        <w:pStyle w:val="12"/>
        <w:widowControl/>
        <w:shd w:val="clear" w:color="auto" w:fill="FFFFFF"/>
        <w:spacing w:beforeAutospacing="0" w:afterAutospacing="0" w:line="360" w:lineRule="exact"/>
        <w:ind w:firstLine="420"/>
        <w:jc w:val="both"/>
        <w:rPr>
          <w:rFonts w:hint="eastAsia" w:ascii="宋体" w:hAnsi="宋体" w:cs="宋体"/>
          <w:color w:val="auto"/>
        </w:rPr>
      </w:pPr>
      <w:r>
        <w:rPr>
          <w:rFonts w:hint="eastAsia" w:ascii="宋体" w:hAnsi="宋体" w:cs="宋体"/>
          <w:color w:val="auto"/>
          <w:shd w:val="clear" w:color="auto" w:fill="FFFFFF"/>
        </w:rPr>
        <w:t>17.6其他</w:t>
      </w:r>
    </w:p>
    <w:p w14:paraId="0D69D33F">
      <w:pPr>
        <w:pStyle w:val="4"/>
        <w:widowControl/>
        <w:shd w:val="clear" w:color="auto" w:fill="FFFFFF"/>
        <w:spacing w:beforeAutospacing="0" w:afterAutospacing="0" w:line="360" w:lineRule="exact"/>
        <w:jc w:val="both"/>
        <w:rPr>
          <w:rFonts w:cs="宋体"/>
          <w:color w:val="auto"/>
        </w:rPr>
      </w:pPr>
      <w:r>
        <w:rPr>
          <w:rFonts w:cs="宋体"/>
          <w:color w:val="auto"/>
          <w:shd w:val="clear" w:color="auto" w:fill="FFFFFF"/>
        </w:rPr>
        <w:t>十八、合同附件</w:t>
      </w:r>
    </w:p>
    <w:p w14:paraId="2FDC54CC">
      <w:pPr>
        <w:widowControl/>
        <w:spacing w:after="240" w:line="360" w:lineRule="exact"/>
        <w:jc w:val="left"/>
        <w:rPr>
          <w:color w:val="auto"/>
        </w:rPr>
      </w:pPr>
    </w:p>
    <w:p w14:paraId="55952E21">
      <w:pPr>
        <w:pStyle w:val="12"/>
        <w:widowControl/>
        <w:spacing w:beforeAutospacing="0" w:afterAutospacing="0" w:line="360" w:lineRule="exact"/>
        <w:ind w:firstLine="420"/>
        <w:jc w:val="both"/>
        <w:rPr>
          <w:rFonts w:hint="eastAsia" w:ascii="宋体" w:hAnsi="宋体" w:cs="宋体"/>
          <w:color w:val="auto"/>
          <w:shd w:val="clear" w:color="auto" w:fill="FFFFFF"/>
        </w:rPr>
        <w:sectPr>
          <w:pgSz w:w="11906" w:h="16838"/>
          <w:pgMar w:top="1240" w:right="1066" w:bottom="1440" w:left="1380" w:header="851" w:footer="992" w:gutter="0"/>
          <w:cols w:space="425" w:num="1"/>
          <w:docGrid w:type="lines" w:linePitch="312" w:charSpace="0"/>
        </w:sectPr>
      </w:pPr>
    </w:p>
    <w:p w14:paraId="5EBEBD29">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甲方（采购人）：</w:t>
      </w:r>
    </w:p>
    <w:p w14:paraId="117B31DB">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法定（授权）代表人：</w:t>
      </w:r>
    </w:p>
    <w:p w14:paraId="3F3F5268">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纳税人识别号：</w:t>
      </w:r>
    </w:p>
    <w:p w14:paraId="637BD200">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开户银行：</w:t>
      </w:r>
    </w:p>
    <w:p w14:paraId="770764A6">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账号：</w:t>
      </w:r>
    </w:p>
    <w:p w14:paraId="7FC31CFA">
      <w:pPr>
        <w:pStyle w:val="12"/>
        <w:widowControl/>
        <w:spacing w:beforeAutospacing="0" w:afterAutospacing="0" w:line="360" w:lineRule="exact"/>
        <w:ind w:firstLine="480" w:firstLineChars="200"/>
        <w:jc w:val="both"/>
        <w:rPr>
          <w:color w:val="auto"/>
        </w:rPr>
      </w:pPr>
      <w:r>
        <w:rPr>
          <w:rFonts w:hint="eastAsia" w:ascii="宋体" w:hAnsi="宋体" w:cs="宋体"/>
          <w:color w:val="auto"/>
          <w:shd w:val="clear" w:color="auto" w:fill="FFFFFF"/>
        </w:rPr>
        <w:t>乙方（中标或成交人）：</w:t>
      </w:r>
    </w:p>
    <w:p w14:paraId="0A8A1F41">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法定（授权）代表人：</w:t>
      </w:r>
    </w:p>
    <w:p w14:paraId="7F315420">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纳税人识别号：</w:t>
      </w:r>
    </w:p>
    <w:p w14:paraId="16C2BD4F">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开户银行：</w:t>
      </w:r>
    </w:p>
    <w:p w14:paraId="24BA221E">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账号：</w:t>
      </w:r>
    </w:p>
    <w:p w14:paraId="44564856">
      <w:pPr>
        <w:pStyle w:val="12"/>
        <w:widowControl/>
        <w:spacing w:beforeAutospacing="0" w:afterAutospacing="0" w:line="360" w:lineRule="exact"/>
        <w:ind w:firstLine="420"/>
        <w:jc w:val="both"/>
        <w:rPr>
          <w:rFonts w:hint="eastAsia" w:ascii="宋体" w:hAnsi="宋体" w:cs="宋体"/>
          <w:color w:val="auto"/>
          <w:shd w:val="clear" w:color="auto" w:fill="FFFFFF"/>
        </w:rPr>
        <w:sectPr>
          <w:type w:val="continuous"/>
          <w:pgSz w:w="11906" w:h="16838"/>
          <w:pgMar w:top="1240" w:right="1066" w:bottom="1440" w:left="1380" w:header="851" w:footer="992" w:gutter="0"/>
          <w:cols w:equalWidth="0" w:num="2">
            <w:col w:w="4517" w:space="425"/>
            <w:col w:w="4517"/>
          </w:cols>
          <w:docGrid w:type="lines" w:linePitch="312" w:charSpace="0"/>
        </w:sectPr>
      </w:pPr>
    </w:p>
    <w:p w14:paraId="6E7430E3">
      <w:pPr>
        <w:pStyle w:val="12"/>
        <w:widowControl/>
        <w:spacing w:beforeAutospacing="0" w:afterAutospacing="0" w:line="360" w:lineRule="exact"/>
        <w:ind w:firstLine="420"/>
        <w:jc w:val="both"/>
        <w:rPr>
          <w:rFonts w:hint="eastAsia" w:ascii="宋体" w:hAnsi="宋体" w:cs="宋体"/>
          <w:color w:val="auto"/>
          <w:shd w:val="clear" w:color="auto" w:fill="FFFFFF"/>
        </w:rPr>
      </w:pPr>
    </w:p>
    <w:p w14:paraId="366E1D46">
      <w:pPr>
        <w:pStyle w:val="12"/>
        <w:widowControl/>
        <w:spacing w:beforeAutospacing="0" w:afterAutospacing="0" w:line="360" w:lineRule="exact"/>
        <w:ind w:firstLine="420"/>
        <w:jc w:val="both"/>
        <w:rPr>
          <w:rFonts w:hint="eastAsia" w:ascii="宋体" w:hAnsi="宋体" w:cs="宋体"/>
          <w:color w:val="auto"/>
          <w:shd w:val="clear" w:color="auto" w:fill="FFFFFF"/>
        </w:rPr>
      </w:pPr>
    </w:p>
    <w:p w14:paraId="08B296AF">
      <w:pPr>
        <w:pStyle w:val="12"/>
        <w:widowControl/>
        <w:spacing w:beforeAutospacing="0" w:afterAutospacing="0" w:line="360" w:lineRule="exact"/>
        <w:ind w:firstLine="420"/>
        <w:jc w:val="both"/>
        <w:rPr>
          <w:rFonts w:hint="eastAsia" w:ascii="宋体" w:hAnsi="宋体" w:cs="宋体"/>
          <w:color w:val="auto"/>
          <w:shd w:val="clear" w:color="auto" w:fill="FFFFFF"/>
        </w:rPr>
      </w:pPr>
    </w:p>
    <w:p w14:paraId="71377CAC">
      <w:pPr>
        <w:pStyle w:val="12"/>
        <w:widowControl/>
        <w:spacing w:beforeAutospacing="0" w:afterAutospacing="0" w:line="360" w:lineRule="exact"/>
        <w:ind w:firstLine="420"/>
        <w:jc w:val="both"/>
        <w:rPr>
          <w:rFonts w:hint="eastAsia" w:ascii="宋体" w:hAnsi="宋体" w:cs="宋体"/>
          <w:color w:val="auto"/>
          <w:shd w:val="clear" w:color="auto" w:fill="FFFFFF"/>
        </w:rPr>
      </w:pPr>
    </w:p>
    <w:p w14:paraId="542D32F4">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签订地点：_____________</w:t>
      </w:r>
    </w:p>
    <w:p w14:paraId="3C04768D">
      <w:pPr>
        <w:pStyle w:val="12"/>
        <w:widowControl/>
        <w:spacing w:beforeAutospacing="0" w:afterAutospacing="0" w:line="360" w:lineRule="exact"/>
        <w:ind w:firstLine="420"/>
        <w:jc w:val="both"/>
        <w:rPr>
          <w:color w:val="auto"/>
        </w:rPr>
      </w:pPr>
      <w:r>
        <w:rPr>
          <w:rFonts w:hint="eastAsia" w:ascii="宋体" w:hAnsi="宋体" w:cs="宋体"/>
          <w:color w:val="auto"/>
          <w:shd w:val="clear" w:color="auto" w:fill="FFFFFF"/>
        </w:rPr>
        <w:t>签订日期：____年___月___日</w:t>
      </w:r>
    </w:p>
    <w:p w14:paraId="40FAFE0D">
      <w:pPr>
        <w:pStyle w:val="20"/>
        <w:rPr>
          <w:rFonts w:ascii="宋体" w:hAnsi="宋体" w:eastAsia="宋体" w:cs="宋体"/>
          <w:color w:val="auto"/>
        </w:rPr>
      </w:pPr>
      <w:r>
        <w:rPr>
          <w:rFonts w:ascii="宋体" w:hAnsi="宋体" w:eastAsia="宋体" w:cs="宋体"/>
          <w:color w:val="auto"/>
        </w:rPr>
        <w:t xml:space="preserve"> </w:t>
      </w:r>
      <w:r>
        <w:rPr>
          <w:rFonts w:ascii="宋体" w:hAnsi="宋体" w:eastAsia="宋体" w:cs="宋体"/>
          <w:color w:val="auto"/>
        </w:rPr>
        <w:br w:type="textWrapping"/>
      </w:r>
      <w:r>
        <w:rPr>
          <w:rFonts w:ascii="宋体" w:hAnsi="宋体" w:eastAsia="宋体" w:cs="宋体"/>
          <w:color w:val="auto"/>
        </w:rPr>
        <w:br w:type="page"/>
      </w:r>
    </w:p>
    <w:p w14:paraId="3E58D173">
      <w:pPr>
        <w:pStyle w:val="20"/>
        <w:jc w:val="center"/>
        <w:outlineLvl w:val="1"/>
        <w:rPr>
          <w:rFonts w:ascii="宋体" w:hAnsi="宋体" w:eastAsia="宋体" w:cs="宋体"/>
          <w:color w:val="auto"/>
        </w:rPr>
      </w:pPr>
      <w:r>
        <w:rPr>
          <w:rFonts w:ascii="宋体" w:hAnsi="宋体" w:eastAsia="宋体" w:cs="宋体"/>
          <w:b/>
          <w:color w:val="auto"/>
          <w:sz w:val="36"/>
        </w:rPr>
        <w:t>第七章 电子投标文件格式</w:t>
      </w:r>
    </w:p>
    <w:p w14:paraId="357A2F1A">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编制说明</w:t>
      </w:r>
    </w:p>
    <w:p w14:paraId="26CA1E9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1、除招标文件另有规定外，本章中：</w:t>
      </w:r>
    </w:p>
    <w:p w14:paraId="5F97877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1.1涉及投标人的“全称”：</w:t>
      </w:r>
    </w:p>
    <w:p w14:paraId="3966FE4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（1）不接受联合体投标的，指投标人的全称。</w:t>
      </w:r>
    </w:p>
    <w:p w14:paraId="78BF589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（2）接受联合体投标且投标人为联合体的，指牵头方的全称并加注（联合体牵头方），即应表述为：“牵头方的全称（联合体牵头方）”。</w:t>
      </w:r>
    </w:p>
    <w:p w14:paraId="677D6BD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1.2涉及投标人“加盖单位公章”：</w:t>
      </w:r>
    </w:p>
    <w:p w14:paraId="29D3500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（1）不接受联合体投标的，指加盖投标人的单位公章。</w:t>
      </w:r>
    </w:p>
    <w:p w14:paraId="379B977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（2）接受联合体投标且投标人为联合体的，指加盖联合体牵头方的单位公章。</w:t>
      </w:r>
    </w:p>
    <w:p w14:paraId="42DDAD5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1.3涉及“投标人代表签字”：</w:t>
      </w:r>
    </w:p>
    <w:p w14:paraId="7900759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（1）不接受联合体投标的，指由投标人的单位负责人或其授权的委托代理人签字，由委托代理人签字的，应提供“单位授权书”。</w:t>
      </w:r>
    </w:p>
    <w:p w14:paraId="66AE07C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0F031DE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1.4“其他组织”指合伙企业、非企业专业服务机构、个体工商户、农村承包经营户等。</w:t>
      </w:r>
    </w:p>
    <w:p w14:paraId="0A40CDB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1.5“自然人”指具有完全民事行为能力、能够承担民事责任和义务的中国公民。</w:t>
      </w:r>
    </w:p>
    <w:p w14:paraId="003F375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2、除招标文件另有规定外，本章中“投标人的资格及资信证明文件”：</w:t>
      </w:r>
    </w:p>
    <w:p w14:paraId="3923600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4C3A4C5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2.2接受联合体投标且投标人为联合体的，联合体中的各方均应按照本章第2.1条规定提交相应的全部资料。</w:t>
      </w:r>
    </w:p>
    <w:p w14:paraId="0E40912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3、投标人对电子投标文件的索引应编制页码。</w:t>
      </w:r>
    </w:p>
    <w:p w14:paraId="5360922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4、本章提供格式仅供参考，投标人应根据自身实际情况制作电子投标文件。</w:t>
      </w:r>
    </w:p>
    <w:p w14:paraId="03F5333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50C84F89">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8"/>
          <w:szCs w:val="28"/>
        </w:rPr>
        <w:t>封面格式(资格及资信证明部分)</w:t>
      </w:r>
    </w:p>
    <w:p w14:paraId="5C1E790B">
      <w:pPr>
        <w:pStyle w:val="20"/>
        <w:spacing w:line="360" w:lineRule="atLeast"/>
        <w:jc w:val="center"/>
        <w:outlineLvl w:val="0"/>
        <w:rPr>
          <w:rFonts w:ascii="宋体" w:hAnsi="宋体" w:eastAsia="宋体" w:cs="宋体"/>
          <w:b/>
          <w:color w:val="auto"/>
          <w:sz w:val="72"/>
          <w:szCs w:val="72"/>
        </w:rPr>
      </w:pPr>
      <w:r>
        <w:rPr>
          <w:rFonts w:ascii="宋体" w:hAnsi="宋体" w:eastAsia="宋体" w:cs="宋体"/>
          <w:b/>
          <w:color w:val="auto"/>
          <w:sz w:val="72"/>
          <w:szCs w:val="72"/>
        </w:rPr>
        <w:t>福建省政府采购投标文件</w:t>
      </w:r>
    </w:p>
    <w:p w14:paraId="5A61E159">
      <w:pPr>
        <w:pStyle w:val="20"/>
        <w:spacing w:line="360" w:lineRule="atLeast"/>
        <w:jc w:val="center"/>
        <w:outlineLvl w:val="0"/>
        <w:rPr>
          <w:rFonts w:ascii="宋体" w:hAnsi="宋体" w:eastAsia="宋体" w:cs="宋体"/>
          <w:color w:val="auto"/>
          <w:sz w:val="24"/>
          <w:szCs w:val="24"/>
        </w:rPr>
      </w:pPr>
      <w:r>
        <w:rPr>
          <w:rFonts w:ascii="宋体" w:hAnsi="宋体" w:eastAsia="宋体" w:cs="宋体"/>
          <w:b/>
          <w:color w:val="auto"/>
          <w:sz w:val="72"/>
          <w:szCs w:val="72"/>
        </w:rPr>
        <w:t>（资格及资信证明部分）</w:t>
      </w:r>
      <w:r>
        <w:rPr>
          <w:rFonts w:ascii="宋体" w:hAnsi="宋体" w:eastAsia="宋体" w:cs="宋体"/>
          <w:color w:val="auto"/>
          <w:sz w:val="24"/>
          <w:szCs w:val="24"/>
        </w:rPr>
        <w:br w:type="textWrapping"/>
      </w:r>
      <w:r>
        <w:rPr>
          <w:rFonts w:ascii="宋体" w:hAnsi="宋体" w:eastAsia="宋体" w:cs="宋体"/>
          <w:color w:val="auto"/>
          <w:sz w:val="24"/>
          <w:szCs w:val="24"/>
        </w:rPr>
        <w:br w:type="textWrapping"/>
      </w:r>
    </w:p>
    <w:p w14:paraId="1DB3D8CF">
      <w:pPr>
        <w:pStyle w:val="20"/>
        <w:spacing w:line="360" w:lineRule="atLeast"/>
        <w:jc w:val="center"/>
        <w:outlineLvl w:val="0"/>
        <w:rPr>
          <w:rFonts w:ascii="宋体" w:hAnsi="宋体" w:eastAsia="宋体" w:cs="宋体"/>
          <w:color w:val="auto"/>
          <w:sz w:val="24"/>
          <w:szCs w:val="24"/>
        </w:rPr>
      </w:pPr>
    </w:p>
    <w:p w14:paraId="7B7F3547">
      <w:pPr>
        <w:pStyle w:val="20"/>
        <w:spacing w:line="360" w:lineRule="atLeast"/>
        <w:jc w:val="center"/>
        <w:outlineLvl w:val="0"/>
        <w:rPr>
          <w:rFonts w:ascii="宋体" w:hAnsi="宋体" w:eastAsia="宋体" w:cs="宋体"/>
          <w:color w:val="auto"/>
          <w:sz w:val="24"/>
          <w:szCs w:val="24"/>
        </w:rPr>
      </w:pPr>
    </w:p>
    <w:p w14:paraId="0A42F76A">
      <w:pPr>
        <w:pStyle w:val="20"/>
        <w:spacing w:line="360" w:lineRule="atLeast"/>
        <w:jc w:val="center"/>
        <w:outlineLvl w:val="0"/>
        <w:rPr>
          <w:rFonts w:ascii="宋体" w:hAnsi="宋体" w:eastAsia="宋体" w:cs="宋体"/>
          <w:color w:val="auto"/>
          <w:sz w:val="24"/>
          <w:szCs w:val="24"/>
        </w:rPr>
      </w:pPr>
    </w:p>
    <w:p w14:paraId="6D1B6FEF">
      <w:pPr>
        <w:pStyle w:val="20"/>
        <w:spacing w:line="360" w:lineRule="atLeast"/>
        <w:jc w:val="center"/>
        <w:outlineLvl w:val="0"/>
        <w:rPr>
          <w:rFonts w:ascii="宋体" w:hAnsi="宋体" w:eastAsia="宋体" w:cs="宋体"/>
          <w:color w:val="auto"/>
          <w:sz w:val="24"/>
          <w:szCs w:val="24"/>
        </w:rPr>
      </w:pPr>
      <w:r>
        <w:rPr>
          <w:rFonts w:ascii="宋体" w:hAnsi="宋体" w:eastAsia="宋体" w:cs="宋体"/>
          <w:color w:val="auto"/>
          <w:sz w:val="24"/>
          <w:szCs w:val="24"/>
        </w:rPr>
        <w:br w:type="textWrapping"/>
      </w:r>
    </w:p>
    <w:p w14:paraId="7342D2BC">
      <w:pPr>
        <w:pStyle w:val="20"/>
        <w:spacing w:line="360" w:lineRule="exact"/>
        <w:jc w:val="center"/>
        <w:outlineLvl w:val="1"/>
        <w:rPr>
          <w:rFonts w:ascii="宋体" w:hAnsi="宋体" w:eastAsia="宋体" w:cs="宋体"/>
          <w:color w:val="auto"/>
          <w:sz w:val="28"/>
          <w:szCs w:val="28"/>
        </w:rPr>
      </w:pPr>
      <w:r>
        <w:rPr>
          <w:rFonts w:ascii="宋体" w:hAnsi="宋体" w:eastAsia="宋体" w:cs="宋体"/>
          <w:b/>
          <w:color w:val="auto"/>
          <w:sz w:val="28"/>
          <w:szCs w:val="28"/>
        </w:rPr>
        <w:t>（填写正本或副本）</w:t>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0379D50D">
      <w:pPr>
        <w:pStyle w:val="20"/>
        <w:spacing w:line="360" w:lineRule="exact"/>
        <w:jc w:val="center"/>
        <w:outlineLvl w:val="1"/>
        <w:rPr>
          <w:rFonts w:ascii="宋体" w:hAnsi="宋体" w:eastAsia="宋体" w:cs="宋体"/>
          <w:color w:val="auto"/>
          <w:sz w:val="28"/>
          <w:szCs w:val="28"/>
        </w:rPr>
      </w:pPr>
    </w:p>
    <w:p w14:paraId="0B6CC45B">
      <w:pPr>
        <w:pStyle w:val="20"/>
        <w:spacing w:line="360" w:lineRule="exact"/>
        <w:jc w:val="center"/>
        <w:outlineLvl w:val="1"/>
        <w:rPr>
          <w:rFonts w:ascii="宋体" w:hAnsi="宋体" w:eastAsia="宋体" w:cs="宋体"/>
          <w:color w:val="auto"/>
          <w:sz w:val="28"/>
          <w:szCs w:val="28"/>
        </w:rPr>
      </w:pPr>
    </w:p>
    <w:p w14:paraId="4785D6C1">
      <w:pPr>
        <w:pStyle w:val="20"/>
        <w:spacing w:line="360" w:lineRule="exact"/>
        <w:jc w:val="center"/>
        <w:outlineLvl w:val="1"/>
        <w:rPr>
          <w:rFonts w:ascii="宋体" w:hAnsi="宋体" w:eastAsia="宋体" w:cs="宋体"/>
          <w:color w:val="auto"/>
          <w:sz w:val="28"/>
          <w:szCs w:val="28"/>
        </w:rPr>
      </w:pP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1186DDC2">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（项目名称：（由投标人填写）</w:t>
      </w:r>
    </w:p>
    <w:p w14:paraId="4521757A">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（备案编号：（由投标人填写）</w:t>
      </w:r>
    </w:p>
    <w:p w14:paraId="01C1742E">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（项目编号：（由投标人填写）</w:t>
      </w:r>
    </w:p>
    <w:p w14:paraId="5C9E0385">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（所投采购包：（由投标人填写）</w:t>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59E3A58A">
      <w:pPr>
        <w:pStyle w:val="20"/>
        <w:spacing w:line="360" w:lineRule="exact"/>
        <w:jc w:val="center"/>
        <w:outlineLvl w:val="2"/>
        <w:rPr>
          <w:rFonts w:ascii="宋体" w:hAnsi="宋体" w:eastAsia="宋体" w:cs="宋体"/>
          <w:color w:val="auto"/>
          <w:sz w:val="28"/>
          <w:szCs w:val="28"/>
        </w:rPr>
      </w:pPr>
    </w:p>
    <w:p w14:paraId="775F4297">
      <w:pPr>
        <w:pStyle w:val="20"/>
        <w:spacing w:line="360" w:lineRule="exact"/>
        <w:jc w:val="center"/>
        <w:outlineLvl w:val="2"/>
        <w:rPr>
          <w:rFonts w:ascii="宋体" w:hAnsi="宋体" w:eastAsia="宋体" w:cs="宋体"/>
          <w:color w:val="auto"/>
          <w:sz w:val="28"/>
          <w:szCs w:val="28"/>
        </w:rPr>
      </w:pPr>
    </w:p>
    <w:p w14:paraId="4D9BD885">
      <w:pPr>
        <w:pStyle w:val="20"/>
        <w:spacing w:line="360" w:lineRule="exact"/>
        <w:jc w:val="center"/>
        <w:outlineLvl w:val="2"/>
        <w:rPr>
          <w:rFonts w:ascii="宋体" w:hAnsi="宋体" w:eastAsia="宋体" w:cs="宋体"/>
          <w:color w:val="auto"/>
          <w:sz w:val="28"/>
          <w:szCs w:val="28"/>
        </w:rPr>
      </w:pPr>
    </w:p>
    <w:p w14:paraId="3561546C">
      <w:pPr>
        <w:pStyle w:val="20"/>
        <w:spacing w:line="360" w:lineRule="exact"/>
        <w:jc w:val="center"/>
        <w:outlineLvl w:val="2"/>
        <w:rPr>
          <w:rFonts w:ascii="宋体" w:hAnsi="宋体" w:eastAsia="宋体" w:cs="宋体"/>
          <w:color w:val="auto"/>
          <w:sz w:val="28"/>
          <w:szCs w:val="28"/>
        </w:rPr>
      </w:pPr>
    </w:p>
    <w:p w14:paraId="2ACA8FCD">
      <w:pPr>
        <w:pStyle w:val="20"/>
        <w:spacing w:line="360" w:lineRule="exact"/>
        <w:jc w:val="center"/>
        <w:outlineLvl w:val="2"/>
        <w:rPr>
          <w:rFonts w:ascii="宋体" w:hAnsi="宋体" w:eastAsia="宋体" w:cs="宋体"/>
          <w:color w:val="auto"/>
          <w:sz w:val="28"/>
          <w:szCs w:val="28"/>
        </w:rPr>
      </w:pPr>
    </w:p>
    <w:p w14:paraId="30F07100">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投标人：（填写“全称”）</w:t>
      </w:r>
    </w:p>
    <w:p w14:paraId="2F0FC565">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8"/>
          <w:szCs w:val="28"/>
        </w:rPr>
        <w:t>（由投标人填写）年（由投标人填写）月</w:t>
      </w:r>
    </w:p>
    <w:p w14:paraId="131D6A1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024128A">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索引</w:t>
      </w:r>
    </w:p>
    <w:p w14:paraId="0436652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一、投标函</w:t>
      </w:r>
    </w:p>
    <w:p w14:paraId="42E009D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二、投标人的资格及资信证明文件</w:t>
      </w:r>
    </w:p>
    <w:p w14:paraId="34196C0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三、投标保证金</w:t>
      </w:r>
    </w:p>
    <w:p w14:paraId="26BEC80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5304612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78C6DF2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6F032AB">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一、投标函</w:t>
      </w:r>
    </w:p>
    <w:p w14:paraId="662BA7A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2751C13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兹收到贵单位关于</w:t>
      </w:r>
      <w:r>
        <w:rPr>
          <w:rFonts w:ascii="宋体" w:hAnsi="宋体" w:eastAsia="宋体" w:cs="宋体"/>
          <w:color w:val="auto"/>
          <w:sz w:val="24"/>
          <w:szCs w:val="24"/>
          <w:u w:val="single"/>
        </w:rPr>
        <w:t xml:space="preserve">（填写“项目名称”） </w:t>
      </w:r>
      <w:r>
        <w:rPr>
          <w:rFonts w:ascii="宋体" w:hAnsi="宋体" w:eastAsia="宋体" w:cs="宋体"/>
          <w:color w:val="auto"/>
          <w:sz w:val="24"/>
          <w:szCs w:val="24"/>
        </w:rPr>
        <w:t>项目</w:t>
      </w:r>
      <w:r>
        <w:rPr>
          <w:rFonts w:ascii="宋体" w:hAnsi="宋体" w:eastAsia="宋体" w:cs="宋体"/>
          <w:color w:val="auto"/>
          <w:sz w:val="24"/>
          <w:szCs w:val="24"/>
          <w:u w:val="single"/>
        </w:rPr>
        <w:t xml:space="preserve">（项目编号：　　　　　） </w:t>
      </w:r>
      <w:r>
        <w:rPr>
          <w:rFonts w:ascii="宋体" w:hAnsi="宋体" w:eastAsia="宋体" w:cs="宋体"/>
          <w:color w:val="auto"/>
          <w:sz w:val="24"/>
          <w:szCs w:val="24"/>
        </w:rPr>
        <w:t>的投标邀请，本投标人代表</w:t>
      </w:r>
      <w:r>
        <w:rPr>
          <w:rFonts w:ascii="宋体" w:hAnsi="宋体" w:eastAsia="宋体" w:cs="宋体"/>
          <w:color w:val="auto"/>
          <w:sz w:val="24"/>
          <w:szCs w:val="24"/>
          <w:u w:val="single"/>
        </w:rPr>
        <w:t xml:space="preserve">（填写“全名”） </w:t>
      </w:r>
      <w:r>
        <w:rPr>
          <w:rFonts w:ascii="宋体" w:hAnsi="宋体" w:eastAsia="宋体" w:cs="宋体"/>
          <w:color w:val="auto"/>
          <w:sz w:val="24"/>
          <w:szCs w:val="24"/>
        </w:rPr>
        <w:t>已获得我方正式授权并代表投标人（填写“全称”）参加投标，并提交电子投标文件。我方提交的全部电子投标文件由下述部分组成：</w:t>
      </w:r>
    </w:p>
    <w:p w14:paraId="57FEBE2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（1）资格及资信证明部分</w:t>
      </w:r>
    </w:p>
    <w:p w14:paraId="6645DC5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①投标函</w:t>
      </w:r>
    </w:p>
    <w:p w14:paraId="532D494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②投标人的资格及资信证明文件</w:t>
      </w:r>
    </w:p>
    <w:p w14:paraId="7AC24BC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③投标保证金</w:t>
      </w:r>
    </w:p>
    <w:p w14:paraId="610156F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（2）报价部分</w:t>
      </w:r>
    </w:p>
    <w:p w14:paraId="210B5C4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①开标一览表</w:t>
      </w:r>
    </w:p>
    <w:p w14:paraId="484D6F9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②投标分项报价表</w:t>
      </w:r>
    </w:p>
    <w:p w14:paraId="0A42E4A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③招标文件规定的价格扣除证明材料（若有）</w:t>
      </w:r>
    </w:p>
    <w:p w14:paraId="631CDDD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④招标文件规定的加分证明材料（若有）</w:t>
      </w:r>
    </w:p>
    <w:p w14:paraId="4C965CD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（3）技术商务部分</w:t>
      </w:r>
    </w:p>
    <w:p w14:paraId="0DC76D6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①标的说明一览表</w:t>
      </w:r>
    </w:p>
    <w:p w14:paraId="7DECBA0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②技术和服务要求响应表</w:t>
      </w:r>
    </w:p>
    <w:p w14:paraId="41D05E5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③商务条件响应表</w:t>
      </w:r>
    </w:p>
    <w:p w14:paraId="2FAC5DC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④投标人提交的其他资料（若有）</w:t>
      </w:r>
    </w:p>
    <w:p w14:paraId="4E5F609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根据本函，本投标人代表宣布我方保证遵守招标文件的全部规定，同时：</w:t>
      </w:r>
    </w:p>
    <w:p w14:paraId="49DE5A1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1、确认：</w:t>
      </w:r>
    </w:p>
    <w:p w14:paraId="4C2C91D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1.1所投采购包的投标报价详见“开标一览表”及“投标分项报价表”。</w:t>
      </w:r>
    </w:p>
    <w:p w14:paraId="5C5AF26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6F2A75C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2、承诺及声明：</w:t>
      </w:r>
    </w:p>
    <w:p w14:paraId="24AF1BA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2.1我方具备招标文件第一章载明的“投标人的资格要求”且符合招标文件第三章载明的“二、投标人”之规定，否则投标无效。</w:t>
      </w:r>
    </w:p>
    <w:p w14:paraId="29FB43E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14:paraId="118409A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2.3我方提供的标的价格不高于同期市场价格，否则产生不利后果由我方承担责任。</w:t>
      </w:r>
    </w:p>
    <w:p w14:paraId="4192DFF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2.4投标保证金：若出现招标文件第三章规定的不予退还情形，同意贵单位不予退还。</w:t>
      </w:r>
    </w:p>
    <w:p w14:paraId="660CBAC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2.5投标有效期：按照招标文件第三章规定执行，并在招标文件第二章载明的期限内保持有效。</w:t>
      </w:r>
    </w:p>
    <w:p w14:paraId="663D6D6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2.6若中标，将按照招标文件、我方电子投标文件及政府采购合同履行责任和义务。</w:t>
      </w:r>
    </w:p>
    <w:p w14:paraId="3B03BB3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6D7CF2B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2.8 我方承诺遵守《中华人民共和国劳动合同法》有关规定和《中华人民共和国妇女权益保障法</w:t>
      </w:r>
      <w:bookmarkStart w:id="0" w:name="_GoBack"/>
      <w:bookmarkEnd w:id="0"/>
      <w:r>
        <w:rPr>
          <w:rFonts w:ascii="宋体" w:hAnsi="宋体" w:eastAsia="宋体" w:cs="宋体"/>
          <w:color w:val="auto"/>
          <w:sz w:val="24"/>
          <w:szCs w:val="24"/>
        </w:rPr>
        <w:t>》中关于“劳动和社会保障权益”的有关要求。</w:t>
      </w:r>
    </w:p>
    <w:p w14:paraId="5666ACB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14:paraId="1D4931D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2.10除招标文件另有规定外，对于贵单位按照下述联络方式发出的任何信息或通知，均视为我方已收悉前述信息或通知的全部内容：</w:t>
      </w:r>
    </w:p>
    <w:p w14:paraId="452A3C5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xml:space="preserve">通信地址：                                        </w:t>
      </w:r>
    </w:p>
    <w:p w14:paraId="1693F7E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xml:space="preserve">邮编：                                           </w:t>
      </w:r>
    </w:p>
    <w:p w14:paraId="5806EAE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联系方法：（包括但不限于：联系人、联系电话、手机、传真、电子邮箱等）</w:t>
      </w:r>
    </w:p>
    <w:p w14:paraId="5B79DF9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投标人：（全称并加盖单位公章）</w:t>
      </w:r>
    </w:p>
    <w:p w14:paraId="799A178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日期：    年   月   日</w:t>
      </w:r>
    </w:p>
    <w:p w14:paraId="549CAAF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05010534">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二、投标人的资格及资信证明文件</w:t>
      </w:r>
    </w:p>
    <w:p w14:paraId="2E272810">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二-1单位授权书（若有）</w:t>
      </w:r>
    </w:p>
    <w:p w14:paraId="77F226A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27BD272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我方的单位负责人</w:t>
      </w:r>
      <w:r>
        <w:rPr>
          <w:rFonts w:ascii="宋体" w:hAnsi="宋体" w:eastAsia="宋体" w:cs="宋体"/>
          <w:color w:val="auto"/>
          <w:sz w:val="24"/>
          <w:szCs w:val="24"/>
          <w:u w:val="single"/>
        </w:rPr>
        <w:t>（填写“单位负责人全名”）</w:t>
      </w:r>
      <w:r>
        <w:rPr>
          <w:rFonts w:ascii="宋体" w:hAnsi="宋体" w:eastAsia="宋体" w:cs="宋体"/>
          <w:color w:val="auto"/>
          <w:sz w:val="24"/>
          <w:szCs w:val="24"/>
        </w:rPr>
        <w:t>授权</w:t>
      </w:r>
      <w:r>
        <w:rPr>
          <w:rFonts w:ascii="宋体" w:hAnsi="宋体" w:eastAsia="宋体" w:cs="宋体"/>
          <w:color w:val="auto"/>
          <w:sz w:val="24"/>
          <w:szCs w:val="24"/>
          <w:u w:val="single"/>
        </w:rPr>
        <w:t>（填写“投标人代表全名”）</w:t>
      </w:r>
      <w:r>
        <w:rPr>
          <w:rFonts w:ascii="宋体" w:hAnsi="宋体" w:eastAsia="宋体" w:cs="宋体"/>
          <w:color w:val="auto"/>
          <w:sz w:val="24"/>
          <w:szCs w:val="24"/>
        </w:rPr>
        <w:t>为投标人代表，代表我方参加</w:t>
      </w:r>
      <w:r>
        <w:rPr>
          <w:rFonts w:ascii="宋体" w:hAnsi="宋体" w:eastAsia="宋体" w:cs="宋体"/>
          <w:color w:val="auto"/>
          <w:sz w:val="24"/>
          <w:szCs w:val="24"/>
          <w:u w:val="single"/>
        </w:rPr>
        <w:t>（填写“项目名称”）</w:t>
      </w:r>
      <w:r>
        <w:rPr>
          <w:rFonts w:ascii="宋体" w:hAnsi="宋体" w:eastAsia="宋体" w:cs="宋体"/>
          <w:color w:val="auto"/>
          <w:sz w:val="24"/>
          <w:szCs w:val="24"/>
        </w:rPr>
        <w:t>项目（项目编号：</w:t>
      </w:r>
      <w:r>
        <w:rPr>
          <w:rFonts w:ascii="宋体" w:hAnsi="宋体" w:eastAsia="宋体" w:cs="宋体"/>
          <w:color w:val="auto"/>
          <w:sz w:val="24"/>
          <w:szCs w:val="24"/>
          <w:u w:val="single"/>
        </w:rPr>
        <w:t>　　　　　</w:t>
      </w:r>
      <w:r>
        <w:rPr>
          <w:rFonts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3D3BF1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投标人代表无转委权。特此授权。</w:t>
      </w:r>
    </w:p>
    <w:p w14:paraId="6B120F4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（以下无正文）</w:t>
      </w:r>
    </w:p>
    <w:p w14:paraId="05A3662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单位负责人：</w:t>
      </w:r>
      <w:r>
        <w:rPr>
          <w:rFonts w:ascii="宋体" w:hAnsi="宋体" w:eastAsia="宋体" w:cs="宋体"/>
          <w:color w:val="auto"/>
          <w:sz w:val="24"/>
          <w:szCs w:val="24"/>
          <w:u w:val="single"/>
        </w:rPr>
        <w:t>　　　　　</w:t>
      </w:r>
      <w:r>
        <w:rPr>
          <w:rFonts w:ascii="宋体" w:hAnsi="宋体" w:eastAsia="宋体" w:cs="宋体"/>
          <w:color w:val="auto"/>
          <w:sz w:val="24"/>
          <w:szCs w:val="24"/>
        </w:rPr>
        <w:t>身份证号：</w:t>
      </w:r>
      <w:r>
        <w:rPr>
          <w:rFonts w:ascii="宋体" w:hAnsi="宋体" w:eastAsia="宋体" w:cs="宋体"/>
          <w:color w:val="auto"/>
          <w:sz w:val="24"/>
          <w:szCs w:val="24"/>
          <w:u w:val="single"/>
        </w:rPr>
        <w:t>　　　　　</w:t>
      </w:r>
      <w:r>
        <w:rPr>
          <w:rFonts w:ascii="宋体" w:hAnsi="宋体" w:eastAsia="宋体" w:cs="宋体"/>
          <w:color w:val="auto"/>
          <w:sz w:val="24"/>
          <w:szCs w:val="24"/>
        </w:rPr>
        <w:t>手机：</w:t>
      </w:r>
      <w:r>
        <w:rPr>
          <w:rFonts w:ascii="宋体" w:hAnsi="宋体" w:eastAsia="宋体" w:cs="宋体"/>
          <w:color w:val="auto"/>
          <w:sz w:val="24"/>
          <w:szCs w:val="24"/>
          <w:u w:val="single"/>
        </w:rPr>
        <w:t>　　　　　</w:t>
      </w:r>
    </w:p>
    <w:p w14:paraId="206AE6C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投标人代表：</w:t>
      </w:r>
      <w:r>
        <w:rPr>
          <w:rFonts w:ascii="宋体" w:hAnsi="宋体" w:eastAsia="宋体" w:cs="宋体"/>
          <w:color w:val="auto"/>
          <w:sz w:val="24"/>
          <w:szCs w:val="24"/>
          <w:u w:val="single"/>
        </w:rPr>
        <w:t>　　　　　</w:t>
      </w:r>
      <w:r>
        <w:rPr>
          <w:rFonts w:ascii="宋体" w:hAnsi="宋体" w:eastAsia="宋体" w:cs="宋体"/>
          <w:color w:val="auto"/>
          <w:sz w:val="24"/>
          <w:szCs w:val="24"/>
        </w:rPr>
        <w:t>身份证号：</w:t>
      </w:r>
      <w:r>
        <w:rPr>
          <w:rFonts w:ascii="宋体" w:hAnsi="宋体" w:eastAsia="宋体" w:cs="宋体"/>
          <w:color w:val="auto"/>
          <w:sz w:val="24"/>
          <w:szCs w:val="24"/>
          <w:u w:val="single"/>
        </w:rPr>
        <w:t>　　　　　</w:t>
      </w:r>
      <w:r>
        <w:rPr>
          <w:rFonts w:ascii="宋体" w:hAnsi="宋体" w:eastAsia="宋体" w:cs="宋体"/>
          <w:color w:val="auto"/>
          <w:sz w:val="24"/>
          <w:szCs w:val="24"/>
        </w:rPr>
        <w:t>手机：</w:t>
      </w:r>
      <w:r>
        <w:rPr>
          <w:rFonts w:ascii="宋体" w:hAnsi="宋体" w:eastAsia="宋体" w:cs="宋体"/>
          <w:color w:val="auto"/>
          <w:sz w:val="24"/>
          <w:szCs w:val="24"/>
          <w:u w:val="single"/>
        </w:rPr>
        <w:t>　　　　　</w:t>
      </w:r>
    </w:p>
    <w:p w14:paraId="3449EC3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授权方</w:t>
      </w:r>
    </w:p>
    <w:p w14:paraId="049D0DE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172B6B6">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签署日期： 年 月 日</w:t>
      </w:r>
    </w:p>
    <w:p w14:paraId="3F0952F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附：单位负责人、投标人代表的身份证正反面复印件</w:t>
      </w:r>
    </w:p>
    <w:p w14:paraId="7132B4FE">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要求：真实有效且内容完整、清晰、整洁。</w:t>
      </w:r>
    </w:p>
    <w:p w14:paraId="0029530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60E9EFA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1DC1C1E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6913D6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732F7C8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4、投标人为自然人的，可不填写本授权书。</w:t>
      </w:r>
    </w:p>
    <w:p w14:paraId="7815E8A7">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30F8C1D3">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二-2 证明材料</w:t>
      </w:r>
    </w:p>
    <w:p w14:paraId="0C32ED3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BBA6416">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二-2-1 福建省政府采购供应商资格承诺函</w:t>
      </w:r>
    </w:p>
    <w:p w14:paraId="4734BF9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2DDCD5D5">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单位名称(自然人姓名):</w:t>
      </w:r>
    </w:p>
    <w:p w14:paraId="4F68850F">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统一社会信用代码(自然人身份证号码):</w:t>
      </w:r>
    </w:p>
    <w:p w14:paraId="2167FB17">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法定代表人(负责人):</w:t>
      </w:r>
    </w:p>
    <w:p w14:paraId="2EF3232B">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联系地址和电话:</w:t>
      </w:r>
    </w:p>
    <w:p w14:paraId="6AF6EF4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39F23BC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一、我单位(本人)具备采购文件要求以及《中华人民共和国政府采购法》第二十二条规定的条件:</w:t>
      </w:r>
    </w:p>
    <w:p w14:paraId="383F8289">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1.具有独立承担民事责任的能力;</w:t>
      </w:r>
    </w:p>
    <w:p w14:paraId="107AD12B">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2.具有良好的商业信誉和健全的财务会计制度;</w:t>
      </w:r>
    </w:p>
    <w:p w14:paraId="74D527D7">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3.具有履行合同所必需的设备和专业技术能力;</w:t>
      </w:r>
    </w:p>
    <w:p w14:paraId="2AD41ED2">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4.有依法缴纳税收和社会保障资金的良好记录;</w:t>
      </w:r>
    </w:p>
    <w:p w14:paraId="266F7681">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5.参加政府采购活动前三年内，在经营活动中没有重大违法记录；</w:t>
      </w:r>
    </w:p>
    <w:p w14:paraId="3C708CE0">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6.法律、行政法规规定的其他条件。</w:t>
      </w:r>
    </w:p>
    <w:p w14:paraId="22E75D8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2196DA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130345">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供应商：</w:t>
      </w:r>
      <w:r>
        <w:rPr>
          <w:rFonts w:ascii="宋体" w:hAnsi="宋体" w:eastAsia="宋体" w:cs="宋体"/>
          <w:color w:val="auto"/>
          <w:sz w:val="24"/>
          <w:szCs w:val="24"/>
          <w:u w:val="single"/>
        </w:rPr>
        <w:t>名称(单位公章):</w:t>
      </w:r>
    </w:p>
    <w:p w14:paraId="24D90056">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110D300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w:t>
      </w:r>
    </w:p>
    <w:p w14:paraId="7BCF548D">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1.我单位(本人)专指参加政府采购活动的供应商(含自然人)；</w:t>
      </w:r>
    </w:p>
    <w:p w14:paraId="03B4A0D8">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14:paraId="4B90C77A">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0576F56">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二-2-2 资格证明材料</w:t>
      </w:r>
    </w:p>
    <w:p w14:paraId="2BE7B15A">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营业执照等证明文件</w:t>
      </w:r>
    </w:p>
    <w:p w14:paraId="7384314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61B25DF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）投标人为法人（包括企业、事业单位和社会团体）的</w:t>
      </w:r>
    </w:p>
    <w:p w14:paraId="2DAC409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签发的我方统一社会信用代码（请填写法人的具体证照名称）复印件，该证明材料真实有效，否则我方负全部责任。</w:t>
      </w:r>
    </w:p>
    <w:p w14:paraId="5AA4493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）投标人为非法人（包括其他组织、自然人）的</w:t>
      </w:r>
    </w:p>
    <w:p w14:paraId="038AB9F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签发的我方（请填写非自然人的非法人的具体证照名称）复印件，该证明材料真实有效，否则我方负全部责任。</w:t>
      </w:r>
    </w:p>
    <w:p w14:paraId="572EE65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签发的我方（请填写自然人的身份证件名称）复印件，该证明材料真实有效，否则我方负全部责任。</w:t>
      </w:r>
    </w:p>
    <w:p w14:paraId="6D74D12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7CFB52E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1、请投标人按照实际情况编制填写，在相应的（）中打“√”并选择相应的“□”（若有）后，再按照本格式的要求提供相应证明材料的复印件。</w:t>
      </w:r>
    </w:p>
    <w:p w14:paraId="49A53DF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FC8AD91">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441F954F">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49E4833D">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60820719">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财务状况报告（财务报告、或资信证明）</w:t>
      </w:r>
    </w:p>
    <w:p w14:paraId="33B8123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28A4FCE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）投标人提供财务报告的</w:t>
      </w:r>
    </w:p>
    <w:p w14:paraId="28B09C4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□企业适用：现附上我方</w:t>
      </w:r>
      <w:r>
        <w:rPr>
          <w:rFonts w:ascii="宋体" w:hAnsi="宋体" w:eastAsia="宋体" w:cs="宋体"/>
          <w:color w:val="auto"/>
          <w:sz w:val="24"/>
          <w:szCs w:val="24"/>
          <w:u w:val="single"/>
        </w:rPr>
        <w:t>（填写“具体的年度、或半年度、季度”）</w:t>
      </w:r>
      <w:r>
        <w:rPr>
          <w:rFonts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11FFDA5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□事业单位适用：现附上我方</w:t>
      </w:r>
      <w:r>
        <w:rPr>
          <w:rFonts w:ascii="宋体" w:hAnsi="宋体" w:eastAsia="宋体" w:cs="宋体"/>
          <w:color w:val="auto"/>
          <w:sz w:val="24"/>
          <w:szCs w:val="24"/>
          <w:u w:val="single"/>
        </w:rPr>
        <w:t>（填写“具体的年度、或半年度、或季度”）</w:t>
      </w:r>
      <w:r>
        <w:rPr>
          <w:rFonts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3B0C67C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□社会团体、民办非企适用：现附上我方</w:t>
      </w:r>
      <w:r>
        <w:rPr>
          <w:rFonts w:ascii="宋体" w:hAnsi="宋体" w:eastAsia="宋体" w:cs="宋体"/>
          <w:color w:val="auto"/>
          <w:sz w:val="24"/>
          <w:szCs w:val="24"/>
          <w:u w:val="single"/>
        </w:rPr>
        <w:t>（填写“具体的年度、或半年度、或季度”）</w:t>
      </w:r>
      <w:r>
        <w:rPr>
          <w:rFonts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377775E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）投标人提供资信证明的</w:t>
      </w:r>
    </w:p>
    <w:p w14:paraId="2E979D5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□非自然人适用（包括企业、事业单位、社会团体和其他组织）：现附上我方银行：</w:t>
      </w:r>
      <w:r>
        <w:rPr>
          <w:rFonts w:ascii="宋体" w:hAnsi="宋体" w:eastAsia="宋体" w:cs="宋体"/>
          <w:color w:val="auto"/>
          <w:sz w:val="24"/>
          <w:szCs w:val="24"/>
          <w:u w:val="single"/>
        </w:rPr>
        <w:t>（填写“开户银行全称”）</w:t>
      </w:r>
      <w:r>
        <w:rPr>
          <w:rFonts w:ascii="宋体" w:hAnsi="宋体" w:eastAsia="宋体" w:cs="宋体"/>
          <w:color w:val="auto"/>
          <w:sz w:val="24"/>
          <w:szCs w:val="24"/>
        </w:rPr>
        <w:t>出具的资信证明复印件，上述证明材料真实有效，否则我方负全部责任。</w:t>
      </w:r>
    </w:p>
    <w:p w14:paraId="4299E9A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□自然人适用：现附上我方银行</w:t>
      </w:r>
      <w:r>
        <w:rPr>
          <w:rFonts w:ascii="宋体" w:hAnsi="宋体" w:eastAsia="宋体" w:cs="宋体"/>
          <w:color w:val="auto"/>
          <w:sz w:val="24"/>
          <w:szCs w:val="24"/>
          <w:u w:val="single"/>
        </w:rPr>
        <w:t>：（填写自然人的“个人账户的开户银行全称”）</w:t>
      </w:r>
      <w:r>
        <w:rPr>
          <w:rFonts w:ascii="宋体" w:hAnsi="宋体" w:eastAsia="宋体" w:cs="宋体"/>
          <w:color w:val="auto"/>
          <w:sz w:val="24"/>
          <w:szCs w:val="24"/>
        </w:rPr>
        <w:t>出具的资信证明复印件，上述证明材料真实有效，否则我方负全部责任。</w:t>
      </w:r>
    </w:p>
    <w:p w14:paraId="5C00AA7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7BAD2E6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1、请投标人按照实际情况编制填写，在相应的（）中打“√”并选择相应的“□”（若有）后，再按照本格式的要求提供相应证明材料的复印件。</w:t>
      </w:r>
    </w:p>
    <w:p w14:paraId="5760F62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2、投标人提供的财务报告复印件（成立年限按照投标截止时间推算）应符合下列规定：</w:t>
      </w:r>
    </w:p>
    <w:p w14:paraId="04058F6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2.1成立年限满1年及以上的投标人，提供经审计的招标文件规定的年度财务报告。</w:t>
      </w:r>
    </w:p>
    <w:p w14:paraId="05807F2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2.2成立年限满半年但不足1年的投标人，提供该半年度中任一季度的季度财务报告或该半年度的半年度财务报告。</w:t>
      </w:r>
    </w:p>
    <w:p w14:paraId="2591B7E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DB4ACA8">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48DA0164">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CFCAA13">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6DA5E1F6">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依法缴纳税收证明材料</w:t>
      </w:r>
    </w:p>
    <w:p w14:paraId="50072D4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441B575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1、依法缴纳税收的投标人</w:t>
      </w:r>
    </w:p>
    <w:p w14:paraId="3D71E89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）法人（包括企业、事业单位和社会团体）的</w:t>
      </w:r>
    </w:p>
    <w:p w14:paraId="121DEBC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0D9DE86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）非法人（包括其他组织、自然人）的</w:t>
      </w:r>
    </w:p>
    <w:p w14:paraId="7D36CC5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994FF2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2、依法免税的投标人</w:t>
      </w:r>
    </w:p>
    <w:p w14:paraId="0879D20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）现附上我方依法免税的证明材料复印件，上述证明材料真实有效，否则我方负全部责任。</w:t>
      </w:r>
    </w:p>
    <w:p w14:paraId="66E6997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7A0C3B6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1、请投标人按照实际情况编制填写，在相应的（）中打“√”，并按照本格式的要求提供相应证明材料的复印件。</w:t>
      </w:r>
    </w:p>
    <w:p w14:paraId="2B1253A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2、投标人提供的税收缴纳凭据复印件应符合下列规定：</w:t>
      </w:r>
    </w:p>
    <w:p w14:paraId="20FAB17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6D1B3C0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2.2投标截止时间的当月成立的投标人，视同满足本项资格条件要求。</w:t>
      </w:r>
    </w:p>
    <w:p w14:paraId="119BCF1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3、若为依法免税范围的投标人，提供依法免税证明材料的，视同满足本项资格条件要求。</w:t>
      </w:r>
    </w:p>
    <w:p w14:paraId="25348986">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50B2408B">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53B8778C">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0FEA88A2">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依法缴纳社会保障资金证明材料</w:t>
      </w:r>
    </w:p>
    <w:p w14:paraId="7379132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0322160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1、依法缴纳社会保障资金的投标人</w:t>
      </w:r>
    </w:p>
    <w:p w14:paraId="1A5DC56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）法人（包括企业、事业单位和社会团体）的</w:t>
      </w:r>
    </w:p>
    <w:p w14:paraId="67877A1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4C3110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）非法人（包括其他组织、自然人）的</w:t>
      </w:r>
    </w:p>
    <w:p w14:paraId="06AB52B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4ABCA4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2、依法不需要缴纳或暂缓缴纳社会保障资金的投标人</w:t>
      </w:r>
    </w:p>
    <w:p w14:paraId="48F14D7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）现附上我方依法不需要缴纳或暂缓缴纳社会保障资金证明材料复印件，上述证明材料真实有效，否则我方负全部责任。</w:t>
      </w:r>
    </w:p>
    <w:p w14:paraId="445FF60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7B44510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1、请投标人按照实际情况编制填写，在相应的（）中打“√”，并按照本格式的要求提供相应证明材料的复印件。</w:t>
      </w:r>
    </w:p>
    <w:p w14:paraId="4257491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2、投标人提供的社会保障资金缴纳凭据复印件应符合下列规定：</w:t>
      </w:r>
    </w:p>
    <w:p w14:paraId="2B9D1D7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734D3FB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2.2投标截止时间的当月成立的投标人，视同满足本项资格条件要求。</w:t>
      </w:r>
    </w:p>
    <w:p w14:paraId="6AAB48D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4699EAD7">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81D2046">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443703EF">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69C8BF22">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具备履行合同所必需设备和专业技术能力的声明函（若有）</w:t>
      </w:r>
    </w:p>
    <w:p w14:paraId="71820FE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00F71B7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我方具备履行合同所必需的设备和专业技术能力，否则产生不利后果由我方承担责任。</w:t>
      </w:r>
    </w:p>
    <w:p w14:paraId="0EB85A72">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特此声明。</w:t>
      </w:r>
    </w:p>
    <w:p w14:paraId="6F855FE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2CA7A14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1、招标文件未要求投标人提供“具备履行合同所必需的设备和专业技术能力专项证明材料”的，投标人应提供本声明函。</w:t>
      </w:r>
    </w:p>
    <w:p w14:paraId="6AD26BA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2、招标文件要求投标人提供“具备履行合同所必需的设备和专业技术能力专项证明材料”的，投标人可不提供本声明函。</w:t>
      </w:r>
    </w:p>
    <w:p w14:paraId="3D8DC54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3、请投标人根据实际情况如实声明，否则视为提供虚假材料。</w:t>
      </w:r>
    </w:p>
    <w:p w14:paraId="675EC831">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B34C5B2">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C0F99B6">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3F2196DB">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参加采购活动前三年内在经营活动中没有重大违法记录书面声明</w:t>
      </w:r>
    </w:p>
    <w:p w14:paraId="4340735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5D31DBC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496E0A56">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特此声明。</w:t>
      </w:r>
    </w:p>
    <w:p w14:paraId="5908533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4C2830A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00EB46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请投标人根据实际情况如实声明，否则视为提供虚假材料。</w:t>
      </w:r>
    </w:p>
    <w:p w14:paraId="7123814E">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5A02EE9D">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567D5CF1">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58E7D903">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二-3信用记录查询提示</w:t>
      </w:r>
    </w:p>
    <w:p w14:paraId="6EDC5D4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1、由资格审查小组通过网站查询并打印投标人的信用记录。</w:t>
      </w:r>
    </w:p>
    <w:p w14:paraId="5371AA3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ACEF2D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1CEA26B">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5ED76696">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二-4中小企业声明函</w:t>
      </w:r>
    </w:p>
    <w:p w14:paraId="548BB9B1">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（以资格条件落实中小企业扶持政策时适用，若有）</w:t>
      </w:r>
    </w:p>
    <w:p w14:paraId="4C77E8BB">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中小企业声明函（货物）</w:t>
      </w:r>
    </w:p>
    <w:p w14:paraId="4B77886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 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7035BD5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u w:val="single"/>
        </w:rPr>
        <w:t xml:space="preserve"> （标的名称） </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行业；制造商为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万元¹，属于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1596BA5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u w:val="single"/>
        </w:rPr>
        <w:t xml:space="preserve"> （标的名称） </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行业；制造商为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0756286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3AF52FB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7E35E16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本企业对上述声明内容的真实性负责。如有虚假，将依法承担相应责任。</w:t>
      </w:r>
    </w:p>
    <w:p w14:paraId="01A0BA10">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1CD9C990">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42E5F30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2C23CB8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1、从业人员、营业收入、资产总额填报上一年度数据，无上一年度数据的新成立企业可不填报。</w:t>
      </w:r>
    </w:p>
    <w:p w14:paraId="3F08A74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A999D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4E7632">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5FF2539B">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中小企业声明函（工程、服务）</w:t>
      </w:r>
    </w:p>
    <w:p w14:paraId="246702A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 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8FEEDB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万元¹，属于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3880FDC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353200E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0C474F5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156C768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本企业对上述声明内容的真实性负责。如有虚假，将依法承担相应责任。</w:t>
      </w:r>
    </w:p>
    <w:p w14:paraId="07889795">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102D5F5">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1227D39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552B523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1、从业人员、营业收入、资产总额填报上一年度数据，无上一年度数据的新成立企业可不填报。</w:t>
      </w:r>
    </w:p>
    <w:p w14:paraId="7F27907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4BBDE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41F608">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A2A0404">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残疾人福利性单位声明函</w:t>
      </w:r>
    </w:p>
    <w:p w14:paraId="2CEB413D">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（以资格条件落实中小企业扶持政策时适用，若有）</w:t>
      </w:r>
    </w:p>
    <w:p w14:paraId="60AF331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D16374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416EB4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）由本投标人承建的（填写“所投采购包、品目号”）工程</w:t>
      </w:r>
    </w:p>
    <w:p w14:paraId="2D58C13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）由本投标人承接的（填写“所投采购包、品目号”）服务；</w:t>
      </w:r>
    </w:p>
    <w:p w14:paraId="0A6AD33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本投标人对上述声明的真实性负责。如有虚假，将依法承担相应责任。</w:t>
      </w:r>
    </w:p>
    <w:p w14:paraId="4AE2094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备注：</w:t>
      </w:r>
    </w:p>
    <w:p w14:paraId="0F1D14E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1、请投标人按照实际情况编制填写本声明函，并在相应的（）中打“√”。</w:t>
      </w:r>
    </w:p>
    <w:p w14:paraId="482E5D9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2、若《残疾人福利性单位声明函》内容不真实，视为提供虚假材料。</w:t>
      </w:r>
    </w:p>
    <w:p w14:paraId="226BD5E2">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1D2C25C">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D6A9D6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附：</w:t>
      </w:r>
    </w:p>
    <w:p w14:paraId="5A7A818F">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监狱企业证明材料</w:t>
      </w:r>
    </w:p>
    <w:p w14:paraId="296A645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6C04BCA1">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8558C59">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二-5联合体协议（若有）</w:t>
      </w:r>
    </w:p>
    <w:p w14:paraId="1464D79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77D3E16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兹有</w:t>
      </w:r>
      <w:r>
        <w:rPr>
          <w:rFonts w:ascii="宋体" w:hAnsi="宋体" w:eastAsia="宋体" w:cs="宋体"/>
          <w:color w:val="auto"/>
          <w:sz w:val="24"/>
          <w:szCs w:val="24"/>
          <w:u w:val="single"/>
        </w:rPr>
        <w:t>（填写“联合体中各方的全称”，各方的全称之间请用“、”分割）</w:t>
      </w:r>
      <w:r>
        <w:rPr>
          <w:rFonts w:ascii="宋体" w:hAnsi="宋体" w:eastAsia="宋体" w:cs="宋体"/>
          <w:color w:val="auto"/>
          <w:sz w:val="24"/>
          <w:szCs w:val="24"/>
        </w:rPr>
        <w:t>自愿组成联合体，共同参加</w:t>
      </w:r>
      <w:r>
        <w:rPr>
          <w:rFonts w:ascii="宋体" w:hAnsi="宋体" w:eastAsia="宋体" w:cs="宋体"/>
          <w:color w:val="auto"/>
          <w:sz w:val="24"/>
          <w:szCs w:val="24"/>
          <w:u w:val="single"/>
        </w:rPr>
        <w:t>（填写“项目名称”）</w:t>
      </w:r>
      <w:r>
        <w:rPr>
          <w:rFonts w:ascii="宋体" w:hAnsi="宋体" w:eastAsia="宋体" w:cs="宋体"/>
          <w:color w:val="auto"/>
          <w:sz w:val="24"/>
          <w:szCs w:val="24"/>
        </w:rPr>
        <w:t xml:space="preserve"> 项目（项目编号：</w:t>
      </w:r>
      <w:r>
        <w:rPr>
          <w:rFonts w:ascii="宋体" w:hAnsi="宋体" w:eastAsia="宋体" w:cs="宋体"/>
          <w:color w:val="auto"/>
          <w:sz w:val="24"/>
          <w:szCs w:val="24"/>
          <w:u w:val="single"/>
        </w:rPr>
        <w:t>　　　　　　</w:t>
      </w:r>
      <w:r>
        <w:rPr>
          <w:rFonts w:ascii="宋体" w:hAnsi="宋体" w:eastAsia="宋体" w:cs="宋体"/>
          <w:color w:val="auto"/>
          <w:sz w:val="24"/>
          <w:szCs w:val="24"/>
        </w:rPr>
        <w:t>）的投标。现就联合体参加本项目投标的有关事宜达成下列协议：</w:t>
      </w:r>
    </w:p>
    <w:p w14:paraId="0C63B7E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一、联合体各方应承担的工作和义务具体如下：</w:t>
      </w:r>
    </w:p>
    <w:p w14:paraId="4EC0D5A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1、牵头方（全称）：</w:t>
      </w:r>
      <w:r>
        <w:rPr>
          <w:rFonts w:ascii="宋体" w:hAnsi="宋体" w:eastAsia="宋体" w:cs="宋体"/>
          <w:color w:val="auto"/>
          <w:sz w:val="24"/>
          <w:szCs w:val="24"/>
          <w:u w:val="single"/>
        </w:rPr>
        <w:t xml:space="preserve">（填写“工作及义务的具体内容”） </w:t>
      </w:r>
      <w:r>
        <w:rPr>
          <w:rFonts w:ascii="宋体" w:hAnsi="宋体" w:eastAsia="宋体" w:cs="宋体"/>
          <w:color w:val="auto"/>
          <w:sz w:val="24"/>
          <w:szCs w:val="24"/>
        </w:rPr>
        <w:t>；</w:t>
      </w:r>
    </w:p>
    <w:p w14:paraId="20FE07D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2、成员方：</w:t>
      </w:r>
    </w:p>
    <w:p w14:paraId="3FE9A44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2.1（成员一的全称）：</w:t>
      </w:r>
      <w:r>
        <w:rPr>
          <w:rFonts w:ascii="宋体" w:hAnsi="宋体" w:eastAsia="宋体" w:cs="宋体"/>
          <w:color w:val="auto"/>
          <w:sz w:val="24"/>
          <w:szCs w:val="24"/>
          <w:u w:val="single"/>
        </w:rPr>
        <w:t>（填写“工作及义务的具体内容”）</w:t>
      </w:r>
      <w:r>
        <w:rPr>
          <w:rFonts w:ascii="宋体" w:hAnsi="宋体" w:eastAsia="宋体" w:cs="宋体"/>
          <w:color w:val="auto"/>
          <w:sz w:val="24"/>
          <w:szCs w:val="24"/>
        </w:rPr>
        <w:t xml:space="preserve"> ；</w:t>
      </w:r>
    </w:p>
    <w:p w14:paraId="2C6B0F5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5E830A1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二、联合体各方的合同金额占比，具体如下：</w:t>
      </w:r>
    </w:p>
    <w:p w14:paraId="72EE6DD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1.牵头方（</w:t>
      </w:r>
      <w:r>
        <w:rPr>
          <w:rFonts w:ascii="宋体" w:hAnsi="宋体" w:eastAsia="宋体" w:cs="宋体"/>
          <w:color w:val="auto"/>
          <w:sz w:val="24"/>
          <w:szCs w:val="24"/>
          <w:u w:val="single"/>
        </w:rPr>
        <w:t xml:space="preserve"> 全称</w:t>
      </w:r>
      <w:r>
        <w:rPr>
          <w:rFonts w:ascii="宋体" w:hAnsi="宋体" w:eastAsia="宋体" w:cs="宋体"/>
          <w:color w:val="auto"/>
          <w:sz w:val="24"/>
          <w:szCs w:val="24"/>
        </w:rPr>
        <w:t xml:space="preserve"> ）的合同金额占合同总额的</w:t>
      </w:r>
      <w:r>
        <w:rPr>
          <w:rFonts w:ascii="宋体" w:hAnsi="宋体" w:eastAsia="宋体" w:cs="宋体"/>
          <w:color w:val="auto"/>
          <w:sz w:val="24"/>
          <w:szCs w:val="24"/>
          <w:u w:val="single"/>
        </w:rPr>
        <w:t>　　</w:t>
      </w:r>
      <w:r>
        <w:rPr>
          <w:rFonts w:ascii="宋体" w:hAnsi="宋体" w:eastAsia="宋体" w:cs="宋体"/>
          <w:color w:val="auto"/>
          <w:sz w:val="24"/>
          <w:szCs w:val="24"/>
        </w:rPr>
        <w:t>%；</w:t>
      </w:r>
    </w:p>
    <w:p w14:paraId="7017764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2.成员方：</w:t>
      </w:r>
    </w:p>
    <w:p w14:paraId="0538F0B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2.1（</w:t>
      </w:r>
      <w:r>
        <w:rPr>
          <w:rFonts w:ascii="宋体" w:hAnsi="宋体" w:eastAsia="宋体" w:cs="宋体"/>
          <w:color w:val="auto"/>
          <w:sz w:val="24"/>
          <w:szCs w:val="24"/>
          <w:u w:val="single"/>
        </w:rPr>
        <w:t xml:space="preserve"> 成员1的全称 </w:t>
      </w:r>
      <w:r>
        <w:rPr>
          <w:rFonts w:ascii="宋体" w:hAnsi="宋体" w:eastAsia="宋体" w:cs="宋体"/>
          <w:color w:val="auto"/>
          <w:sz w:val="24"/>
          <w:szCs w:val="24"/>
        </w:rPr>
        <w:t>）的合同金额占合同总额的</w:t>
      </w:r>
      <w:r>
        <w:rPr>
          <w:rFonts w:ascii="宋体" w:hAnsi="宋体" w:eastAsia="宋体" w:cs="宋体"/>
          <w:color w:val="auto"/>
          <w:sz w:val="24"/>
          <w:szCs w:val="24"/>
          <w:u w:val="single"/>
        </w:rPr>
        <w:t>　　</w:t>
      </w:r>
      <w:r>
        <w:rPr>
          <w:rFonts w:ascii="宋体" w:hAnsi="宋体" w:eastAsia="宋体" w:cs="宋体"/>
          <w:color w:val="auto"/>
          <w:sz w:val="24"/>
          <w:szCs w:val="24"/>
        </w:rPr>
        <w:t>%；</w:t>
      </w:r>
    </w:p>
    <w:p w14:paraId="0852B4F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7270689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三、联合体各方约定：</w:t>
      </w:r>
    </w:p>
    <w:p w14:paraId="41A0C5A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1、由</w:t>
      </w:r>
      <w:r>
        <w:rPr>
          <w:rFonts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15361D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2、联合体各方约定由</w:t>
      </w:r>
      <w:r>
        <w:rPr>
          <w:rFonts w:ascii="宋体" w:hAnsi="宋体" w:eastAsia="宋体" w:cs="宋体"/>
          <w:color w:val="auto"/>
          <w:sz w:val="24"/>
          <w:szCs w:val="24"/>
          <w:u w:val="single"/>
        </w:rPr>
        <w:t>（填写“牵头方的全称”）代表联合体办理投标保证金事宜。</w:t>
      </w:r>
    </w:p>
    <w:p w14:paraId="73522B0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B15CE4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675E2A2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五、本协议自签署之日起生效，政府采购合同履行完毕后自动失效。</w:t>
      </w:r>
    </w:p>
    <w:p w14:paraId="206CF4E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六、本协议一式</w:t>
      </w:r>
      <w:r>
        <w:rPr>
          <w:rFonts w:ascii="宋体" w:hAnsi="宋体" w:eastAsia="宋体" w:cs="宋体"/>
          <w:color w:val="auto"/>
          <w:sz w:val="24"/>
          <w:szCs w:val="24"/>
          <w:u w:val="single"/>
        </w:rPr>
        <w:t>（填写具体份数）</w:t>
      </w:r>
      <w:r>
        <w:rPr>
          <w:rFonts w:ascii="宋体" w:hAnsi="宋体" w:eastAsia="宋体" w:cs="宋体"/>
          <w:color w:val="auto"/>
          <w:sz w:val="24"/>
          <w:szCs w:val="24"/>
        </w:rPr>
        <w:t>份，联合体各方各执一份，电子投标文件中提交一份。</w:t>
      </w:r>
    </w:p>
    <w:p w14:paraId="31D7059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（以下无正文）</w:t>
      </w:r>
    </w:p>
    <w:p w14:paraId="36B42FA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牵头方：</w:t>
      </w:r>
      <w:r>
        <w:rPr>
          <w:rFonts w:ascii="宋体" w:hAnsi="宋体" w:eastAsia="宋体" w:cs="宋体"/>
          <w:color w:val="auto"/>
          <w:sz w:val="24"/>
          <w:szCs w:val="24"/>
          <w:u w:val="single"/>
        </w:rPr>
        <w:t>（全称并加盖单位公章）</w:t>
      </w:r>
    </w:p>
    <w:p w14:paraId="3C40DE4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法定代表人或其委托代理人：</w:t>
      </w:r>
      <w:r>
        <w:rPr>
          <w:rFonts w:ascii="宋体" w:hAnsi="宋体" w:eastAsia="宋体" w:cs="宋体"/>
          <w:color w:val="auto"/>
          <w:sz w:val="24"/>
          <w:szCs w:val="24"/>
          <w:u w:val="single"/>
        </w:rPr>
        <w:t xml:space="preserve"> （签字或盖章）</w:t>
      </w:r>
    </w:p>
    <w:p w14:paraId="0500700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成员一：</w:t>
      </w:r>
      <w:r>
        <w:rPr>
          <w:rFonts w:ascii="宋体" w:hAnsi="宋体" w:eastAsia="宋体" w:cs="宋体"/>
          <w:color w:val="auto"/>
          <w:sz w:val="24"/>
          <w:szCs w:val="24"/>
          <w:u w:val="single"/>
        </w:rPr>
        <w:t>（全称并加盖成员一的单位公章）</w:t>
      </w:r>
    </w:p>
    <w:p w14:paraId="6FB412C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法定代表人或其委托代理人：</w:t>
      </w:r>
      <w:r>
        <w:rPr>
          <w:rFonts w:ascii="宋体" w:hAnsi="宋体" w:eastAsia="宋体" w:cs="宋体"/>
          <w:color w:val="auto"/>
          <w:sz w:val="24"/>
          <w:szCs w:val="24"/>
          <w:u w:val="single"/>
        </w:rPr>
        <w:t xml:space="preserve"> （签字或盖章）</w:t>
      </w:r>
    </w:p>
    <w:p w14:paraId="06CEE76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36B5E28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成员**：</w:t>
      </w:r>
      <w:r>
        <w:rPr>
          <w:rFonts w:ascii="宋体" w:hAnsi="宋体" w:eastAsia="宋体" w:cs="宋体"/>
          <w:color w:val="auto"/>
          <w:sz w:val="24"/>
          <w:szCs w:val="24"/>
          <w:u w:val="single"/>
        </w:rPr>
        <w:t>（全称并加盖成员**的单位公章）</w:t>
      </w:r>
    </w:p>
    <w:p w14:paraId="4A35550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法定代表人或其委托代理人：</w:t>
      </w:r>
      <w:r>
        <w:rPr>
          <w:rFonts w:ascii="宋体" w:hAnsi="宋体" w:eastAsia="宋体" w:cs="宋体"/>
          <w:color w:val="auto"/>
          <w:sz w:val="24"/>
          <w:szCs w:val="24"/>
          <w:u w:val="single"/>
        </w:rPr>
        <w:t xml:space="preserve"> （签字或盖章）</w:t>
      </w:r>
    </w:p>
    <w:p w14:paraId="2A2B58EB">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签署日期：</w:t>
      </w:r>
      <w:r>
        <w:rPr>
          <w:rFonts w:ascii="宋体" w:hAnsi="宋体" w:eastAsia="宋体" w:cs="宋体"/>
          <w:color w:val="auto"/>
          <w:sz w:val="24"/>
          <w:szCs w:val="24"/>
          <w:u w:val="single"/>
        </w:rPr>
        <w:t>　　年　　月　　日</w:t>
      </w:r>
    </w:p>
    <w:p w14:paraId="1E72C37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7B889AF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1、招标文件接受联合体投标且投标人为联合体的，投标人应提供本协议；否则无须提供。</w:t>
      </w:r>
    </w:p>
    <w:p w14:paraId="5DBF672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2、本协议由委托代理人签字或盖章的，应按照本章载明的格式提供“单位授权书”。</w:t>
      </w:r>
    </w:p>
    <w:p w14:paraId="5500513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3、在以联合体形式落实中小企业预留份额项目中，投标人除了要提供《中小企业声明函》，还需提供本协议。</w:t>
      </w:r>
    </w:p>
    <w:p w14:paraId="3749B83F">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6EF1807A">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二-6分包意向协议（若有）</w:t>
      </w:r>
    </w:p>
    <w:p w14:paraId="5188495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甲方（总包方）：</w:t>
      </w:r>
      <w:r>
        <w:rPr>
          <w:rFonts w:ascii="宋体" w:hAnsi="宋体" w:eastAsia="宋体" w:cs="宋体"/>
          <w:color w:val="auto"/>
          <w:sz w:val="24"/>
          <w:szCs w:val="24"/>
          <w:u w:val="single"/>
        </w:rPr>
        <w:t>　　　　　　　</w:t>
      </w:r>
      <w:r>
        <w:rPr>
          <w:rFonts w:ascii="宋体" w:hAnsi="宋体" w:eastAsia="宋体" w:cs="宋体"/>
          <w:color w:val="auto"/>
          <w:sz w:val="24"/>
          <w:szCs w:val="24"/>
        </w:rPr>
        <w:t>（即本项目的投标人）</w:t>
      </w:r>
    </w:p>
    <w:p w14:paraId="0C416F1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乙方（分包方）：</w:t>
      </w:r>
      <w:r>
        <w:rPr>
          <w:rFonts w:ascii="宋体" w:hAnsi="宋体" w:eastAsia="宋体" w:cs="宋体"/>
          <w:color w:val="auto"/>
          <w:sz w:val="24"/>
          <w:szCs w:val="24"/>
          <w:u w:val="single"/>
        </w:rPr>
        <w:t>　　　　　　　</w:t>
      </w:r>
    </w:p>
    <w:p w14:paraId="59855B8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兹有甲方参加</w:t>
      </w:r>
      <w:r>
        <w:rPr>
          <w:rFonts w:ascii="宋体" w:hAnsi="宋体" w:eastAsia="宋体" w:cs="宋体"/>
          <w:color w:val="auto"/>
          <w:sz w:val="24"/>
          <w:szCs w:val="24"/>
          <w:u w:val="single"/>
        </w:rPr>
        <w:t>（填写“项目名称”）</w:t>
      </w:r>
      <w:r>
        <w:rPr>
          <w:rFonts w:ascii="宋体" w:hAnsi="宋体" w:eastAsia="宋体" w:cs="宋体"/>
          <w:color w:val="auto"/>
          <w:sz w:val="24"/>
          <w:szCs w:val="24"/>
        </w:rPr>
        <w:t xml:space="preserve"> 项目（项目编号：</w:t>
      </w:r>
      <w:r>
        <w:rPr>
          <w:rFonts w:ascii="宋体" w:hAnsi="宋体" w:eastAsia="宋体" w:cs="宋体"/>
          <w:color w:val="auto"/>
          <w:sz w:val="24"/>
          <w:szCs w:val="24"/>
          <w:u w:val="single"/>
        </w:rPr>
        <w:t>　　　　　　　</w:t>
      </w:r>
      <w:r>
        <w:rPr>
          <w:rFonts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0478E42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一、分包标的</w:t>
      </w:r>
    </w:p>
    <w:p w14:paraId="5551930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u w:val="single"/>
        </w:rPr>
        <w:t>（根据双方的意向填写，可以是表格或文字描述）。</w:t>
      </w:r>
    </w:p>
    <w:p w14:paraId="325836C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二、分包合同金额占比</w:t>
      </w:r>
    </w:p>
    <w:p w14:paraId="759F74E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分包合同价占投标总价的比例：</w:t>
      </w:r>
      <w:r>
        <w:rPr>
          <w:rFonts w:ascii="宋体" w:hAnsi="宋体" w:eastAsia="宋体" w:cs="宋体"/>
          <w:color w:val="auto"/>
          <w:sz w:val="24"/>
          <w:szCs w:val="24"/>
          <w:u w:val="single"/>
        </w:rPr>
        <w:t>　　　　　</w:t>
      </w:r>
      <w:r>
        <w:rPr>
          <w:rFonts w:ascii="宋体" w:hAnsi="宋体" w:eastAsia="宋体" w:cs="宋体"/>
          <w:color w:val="auto"/>
          <w:sz w:val="24"/>
          <w:szCs w:val="24"/>
        </w:rPr>
        <w:t>%</w:t>
      </w:r>
    </w:p>
    <w:p w14:paraId="642E2D8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三、其他条款</w:t>
      </w:r>
    </w:p>
    <w:p w14:paraId="2E4DDF3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AB9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36BCF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甲方：</w:t>
            </w:r>
          </w:p>
        </w:tc>
        <w:tc>
          <w:tcPr>
            <w:tcW w:w="4153" w:type="dxa"/>
          </w:tcPr>
          <w:p w14:paraId="6130CC6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乙方：</w:t>
            </w:r>
          </w:p>
        </w:tc>
      </w:tr>
      <w:tr w14:paraId="1CAA2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435D86">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住所：</w:t>
            </w:r>
          </w:p>
        </w:tc>
        <w:tc>
          <w:tcPr>
            <w:tcW w:w="4153" w:type="dxa"/>
          </w:tcPr>
          <w:p w14:paraId="3B5A8C90">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住所：</w:t>
            </w:r>
          </w:p>
        </w:tc>
      </w:tr>
      <w:tr w14:paraId="46F78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EE4258">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单位负责人或委托代理人：</w:t>
            </w:r>
          </w:p>
        </w:tc>
        <w:tc>
          <w:tcPr>
            <w:tcW w:w="4153" w:type="dxa"/>
          </w:tcPr>
          <w:p w14:paraId="17CC928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单位负责人或委托代理人：</w:t>
            </w:r>
          </w:p>
        </w:tc>
      </w:tr>
      <w:tr w14:paraId="4832D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7500E8">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联系方法：</w:t>
            </w:r>
          </w:p>
        </w:tc>
        <w:tc>
          <w:tcPr>
            <w:tcW w:w="4153" w:type="dxa"/>
          </w:tcPr>
          <w:p w14:paraId="648E6D9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联系方法：</w:t>
            </w:r>
          </w:p>
        </w:tc>
      </w:tr>
      <w:tr w14:paraId="0A983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5A591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开户银行：</w:t>
            </w:r>
          </w:p>
        </w:tc>
        <w:tc>
          <w:tcPr>
            <w:tcW w:w="4153" w:type="dxa"/>
          </w:tcPr>
          <w:p w14:paraId="333D905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开户银行：</w:t>
            </w:r>
          </w:p>
        </w:tc>
      </w:tr>
      <w:tr w14:paraId="160DD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AC586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账号：</w:t>
            </w:r>
          </w:p>
        </w:tc>
        <w:tc>
          <w:tcPr>
            <w:tcW w:w="4153" w:type="dxa"/>
          </w:tcPr>
          <w:p w14:paraId="2D6F9251">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账号：</w:t>
            </w:r>
          </w:p>
        </w:tc>
      </w:tr>
      <w:tr w14:paraId="51B4A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897B2B">
            <w:pPr>
              <w:pStyle w:val="20"/>
              <w:spacing w:line="360" w:lineRule="exact"/>
              <w:ind w:firstLine="960"/>
              <w:jc w:val="right"/>
              <w:rPr>
                <w:rFonts w:ascii="宋体" w:hAnsi="宋体" w:eastAsia="宋体" w:cs="宋体"/>
                <w:color w:val="auto"/>
                <w:sz w:val="24"/>
                <w:szCs w:val="24"/>
              </w:rPr>
            </w:pPr>
            <w:r>
              <w:rPr>
                <w:rFonts w:ascii="宋体" w:hAnsi="宋体" w:eastAsia="宋体" w:cs="宋体"/>
                <w:color w:val="auto"/>
                <w:sz w:val="24"/>
                <w:szCs w:val="24"/>
              </w:rPr>
              <w:t>签订地点：</w:t>
            </w:r>
            <w:r>
              <w:rPr>
                <w:rFonts w:ascii="宋体" w:hAnsi="宋体" w:eastAsia="宋体" w:cs="宋体"/>
                <w:color w:val="auto"/>
                <w:sz w:val="24"/>
                <w:szCs w:val="24"/>
                <w:u w:val="single"/>
              </w:rPr>
              <w:t>　　　　　　　　　　</w:t>
            </w:r>
          </w:p>
          <w:p w14:paraId="5724C16E">
            <w:pPr>
              <w:pStyle w:val="20"/>
              <w:spacing w:line="360" w:lineRule="exact"/>
              <w:ind w:firstLine="960"/>
              <w:jc w:val="right"/>
              <w:rPr>
                <w:rFonts w:ascii="宋体" w:hAnsi="宋体" w:eastAsia="宋体" w:cs="宋体"/>
                <w:color w:val="auto"/>
                <w:sz w:val="24"/>
                <w:szCs w:val="24"/>
              </w:rPr>
            </w:pPr>
            <w:r>
              <w:rPr>
                <w:rFonts w:ascii="宋体" w:hAnsi="宋体" w:eastAsia="宋体" w:cs="宋体"/>
                <w:color w:val="auto"/>
                <w:sz w:val="24"/>
                <w:szCs w:val="24"/>
              </w:rPr>
              <w:t>签约日期：</w:t>
            </w:r>
            <w:r>
              <w:rPr>
                <w:rFonts w:ascii="宋体" w:hAnsi="宋体" w:eastAsia="宋体" w:cs="宋体"/>
                <w:color w:val="auto"/>
                <w:sz w:val="24"/>
                <w:szCs w:val="24"/>
                <w:u w:val="single"/>
              </w:rPr>
              <w:t>　　年　　月　　日</w:t>
            </w:r>
          </w:p>
        </w:tc>
      </w:tr>
    </w:tbl>
    <w:p w14:paraId="3C1E582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629C153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1.招标文件接受合同分包且投标人拟将合同分包的，应提供本协议；否则无须提供。</w:t>
      </w:r>
    </w:p>
    <w:p w14:paraId="242B624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2.本协议由委托代理人签字或盖章的，应按照本章载明的格式提供“单位授权书”。</w:t>
      </w:r>
    </w:p>
    <w:p w14:paraId="5FE7DB6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3.在以合同分包形式落实中小企业预留份额项目中，投标人除了要提供《中小企业声明函》，还需提供本协议。</w:t>
      </w:r>
    </w:p>
    <w:p w14:paraId="46C3BA02">
      <w:pPr>
        <w:pStyle w:val="20"/>
        <w:spacing w:line="360" w:lineRule="exact"/>
        <w:ind w:firstLine="96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163BCE0E">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二-7其他资格证明文件（若有）</w:t>
      </w:r>
    </w:p>
    <w:p w14:paraId="29DEF278">
      <w:pPr>
        <w:pStyle w:val="20"/>
        <w:spacing w:line="360" w:lineRule="exact"/>
        <w:ind w:firstLine="960"/>
        <w:jc w:val="center"/>
        <w:outlineLvl w:val="3"/>
        <w:rPr>
          <w:rFonts w:ascii="宋体" w:hAnsi="宋体" w:eastAsia="宋体" w:cs="宋体"/>
          <w:color w:val="auto"/>
          <w:sz w:val="24"/>
          <w:szCs w:val="24"/>
        </w:rPr>
      </w:pPr>
      <w:r>
        <w:rPr>
          <w:rFonts w:ascii="宋体" w:hAnsi="宋体" w:eastAsia="宋体" w:cs="宋体"/>
          <w:b/>
          <w:color w:val="auto"/>
          <w:sz w:val="24"/>
          <w:szCs w:val="24"/>
        </w:rPr>
        <w:t>二-7-①招标文件规定的其他资格证明文件（若有）</w:t>
      </w:r>
    </w:p>
    <w:p w14:paraId="7D392393">
      <w:pPr>
        <w:pStyle w:val="20"/>
        <w:spacing w:line="360" w:lineRule="exact"/>
        <w:ind w:firstLine="480"/>
        <w:jc w:val="center"/>
        <w:rPr>
          <w:rFonts w:ascii="宋体" w:hAnsi="宋体" w:eastAsia="宋体" w:cs="宋体"/>
          <w:color w:val="auto"/>
          <w:sz w:val="24"/>
          <w:szCs w:val="24"/>
        </w:rPr>
      </w:pPr>
      <w:r>
        <w:rPr>
          <w:rFonts w:ascii="宋体" w:hAnsi="宋体" w:eastAsia="宋体" w:cs="宋体"/>
          <w:color w:val="auto"/>
          <w:sz w:val="24"/>
          <w:szCs w:val="24"/>
        </w:rPr>
        <w:t>编制说明</w:t>
      </w:r>
    </w:p>
    <w:p w14:paraId="581E3AB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3C49B077">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06448A6C">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三、投标保证金</w:t>
      </w:r>
    </w:p>
    <w:p w14:paraId="494C0F81">
      <w:pPr>
        <w:pStyle w:val="20"/>
        <w:spacing w:line="360" w:lineRule="exact"/>
        <w:ind w:firstLine="480"/>
        <w:jc w:val="center"/>
        <w:rPr>
          <w:rFonts w:ascii="宋体" w:hAnsi="宋体" w:eastAsia="宋体" w:cs="宋体"/>
          <w:color w:val="auto"/>
          <w:sz w:val="24"/>
          <w:szCs w:val="24"/>
        </w:rPr>
      </w:pPr>
      <w:r>
        <w:rPr>
          <w:rFonts w:ascii="宋体" w:hAnsi="宋体" w:eastAsia="宋体" w:cs="宋体"/>
          <w:color w:val="auto"/>
          <w:sz w:val="24"/>
          <w:szCs w:val="24"/>
        </w:rPr>
        <w:t>编制说明</w:t>
      </w:r>
    </w:p>
    <w:p w14:paraId="252CAC3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1、在此项下提交的“投标保证金”材料可使用转账凭证复印件或从福建省政府采购网上公开信息系统中下载的有关原始页面的打印件。</w:t>
      </w:r>
    </w:p>
    <w:p w14:paraId="1337A07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2、投标保证金是否已提交的认定按照招标文件第三章规定执行。</w:t>
      </w:r>
    </w:p>
    <w:p w14:paraId="271B89D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09130D2B">
      <w:pPr>
        <w:pStyle w:val="20"/>
        <w:spacing w:line="360" w:lineRule="exact"/>
        <w:jc w:val="center"/>
        <w:outlineLvl w:val="2"/>
        <w:rPr>
          <w:rFonts w:ascii="宋体" w:hAnsi="宋体" w:eastAsia="宋体" w:cs="宋体"/>
          <w:b/>
          <w:color w:val="auto"/>
          <w:sz w:val="28"/>
          <w:szCs w:val="28"/>
        </w:rPr>
      </w:pPr>
    </w:p>
    <w:p w14:paraId="366EB714">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封面格式(报价部分)</w:t>
      </w:r>
    </w:p>
    <w:p w14:paraId="64E4C0A9">
      <w:pPr>
        <w:pStyle w:val="20"/>
        <w:spacing w:line="360" w:lineRule="atLeast"/>
        <w:jc w:val="center"/>
        <w:outlineLvl w:val="0"/>
        <w:rPr>
          <w:rFonts w:ascii="宋体" w:hAnsi="宋体" w:eastAsia="宋体" w:cs="宋体"/>
          <w:b/>
          <w:color w:val="auto"/>
          <w:sz w:val="72"/>
          <w:szCs w:val="72"/>
        </w:rPr>
      </w:pPr>
      <w:r>
        <w:rPr>
          <w:rFonts w:ascii="宋体" w:hAnsi="宋体" w:eastAsia="宋体" w:cs="宋体"/>
          <w:b/>
          <w:color w:val="auto"/>
          <w:sz w:val="72"/>
          <w:szCs w:val="72"/>
        </w:rPr>
        <w:t>福建省政府采购投标文件</w:t>
      </w:r>
    </w:p>
    <w:p w14:paraId="551CA895">
      <w:pPr>
        <w:pStyle w:val="20"/>
        <w:spacing w:line="360" w:lineRule="atLeast"/>
        <w:jc w:val="center"/>
        <w:outlineLvl w:val="0"/>
        <w:rPr>
          <w:rFonts w:ascii="宋体" w:hAnsi="宋体" w:eastAsia="宋体" w:cs="宋体"/>
          <w:color w:val="auto"/>
          <w:sz w:val="24"/>
          <w:szCs w:val="24"/>
        </w:rPr>
      </w:pPr>
      <w:r>
        <w:rPr>
          <w:rFonts w:ascii="宋体" w:hAnsi="宋体" w:eastAsia="宋体" w:cs="宋体"/>
          <w:b/>
          <w:color w:val="auto"/>
          <w:sz w:val="72"/>
          <w:szCs w:val="72"/>
        </w:rPr>
        <w:t>（报价部分）</w:t>
      </w:r>
      <w:r>
        <w:rPr>
          <w:rFonts w:ascii="宋体" w:hAnsi="宋体" w:eastAsia="宋体" w:cs="宋体"/>
          <w:color w:val="auto"/>
          <w:sz w:val="24"/>
          <w:szCs w:val="24"/>
        </w:rPr>
        <w:br w:type="textWrapping"/>
      </w:r>
    </w:p>
    <w:p w14:paraId="601D8BA8">
      <w:pPr>
        <w:pStyle w:val="20"/>
        <w:spacing w:line="360" w:lineRule="atLeast"/>
        <w:jc w:val="center"/>
        <w:outlineLvl w:val="0"/>
        <w:rPr>
          <w:rFonts w:ascii="宋体" w:hAnsi="宋体" w:eastAsia="宋体" w:cs="宋体"/>
          <w:color w:val="auto"/>
          <w:sz w:val="24"/>
          <w:szCs w:val="24"/>
        </w:rPr>
      </w:pPr>
    </w:p>
    <w:p w14:paraId="76B4238F">
      <w:pPr>
        <w:pStyle w:val="20"/>
        <w:spacing w:line="360" w:lineRule="atLeast"/>
        <w:jc w:val="center"/>
        <w:outlineLvl w:val="0"/>
        <w:rPr>
          <w:rFonts w:ascii="宋体" w:hAnsi="宋体" w:eastAsia="宋体" w:cs="宋体"/>
          <w:color w:val="auto"/>
          <w:sz w:val="24"/>
          <w:szCs w:val="24"/>
        </w:rPr>
      </w:pPr>
    </w:p>
    <w:p w14:paraId="13BB89DE">
      <w:pPr>
        <w:pStyle w:val="20"/>
        <w:spacing w:line="360" w:lineRule="atLeast"/>
        <w:jc w:val="center"/>
        <w:outlineLvl w:val="0"/>
        <w:rPr>
          <w:rFonts w:ascii="宋体" w:hAnsi="宋体" w:eastAsia="宋体" w:cs="宋体"/>
          <w:color w:val="auto"/>
          <w:sz w:val="24"/>
          <w:szCs w:val="24"/>
        </w:rPr>
      </w:pPr>
    </w:p>
    <w:p w14:paraId="40315B8C">
      <w:pPr>
        <w:pStyle w:val="20"/>
        <w:spacing w:line="360" w:lineRule="atLeast"/>
        <w:jc w:val="center"/>
        <w:outlineLvl w:val="0"/>
        <w:rPr>
          <w:rFonts w:ascii="宋体" w:hAnsi="宋体" w:eastAsia="宋体" w:cs="宋体"/>
          <w:color w:val="auto"/>
          <w:sz w:val="24"/>
          <w:szCs w:val="24"/>
        </w:rPr>
      </w:pPr>
    </w:p>
    <w:p w14:paraId="37ED81FC">
      <w:pPr>
        <w:pStyle w:val="20"/>
        <w:spacing w:line="360" w:lineRule="atLeast"/>
        <w:jc w:val="center"/>
        <w:outlineLvl w:val="0"/>
        <w:rPr>
          <w:rFonts w:ascii="宋体" w:hAnsi="宋体" w:eastAsia="宋体" w:cs="宋体"/>
          <w:color w:val="auto"/>
          <w:sz w:val="24"/>
          <w:szCs w:val="24"/>
        </w:rPr>
      </w:pPr>
      <w:r>
        <w:rPr>
          <w:rFonts w:ascii="宋体" w:hAnsi="宋体" w:eastAsia="宋体" w:cs="宋体"/>
          <w:color w:val="auto"/>
          <w:sz w:val="24"/>
          <w:szCs w:val="24"/>
        </w:rPr>
        <w:br w:type="textWrapping"/>
      </w:r>
      <w:r>
        <w:rPr>
          <w:rFonts w:ascii="宋体" w:hAnsi="宋体" w:eastAsia="宋体" w:cs="宋体"/>
          <w:color w:val="auto"/>
          <w:sz w:val="24"/>
          <w:szCs w:val="24"/>
        </w:rPr>
        <w:br w:type="textWrapping"/>
      </w:r>
    </w:p>
    <w:p w14:paraId="4D9CAFDE">
      <w:pPr>
        <w:pStyle w:val="20"/>
        <w:spacing w:line="360" w:lineRule="exact"/>
        <w:jc w:val="center"/>
        <w:outlineLvl w:val="1"/>
        <w:rPr>
          <w:rFonts w:ascii="宋体" w:hAnsi="宋体" w:eastAsia="宋体" w:cs="宋体"/>
          <w:color w:val="auto"/>
          <w:sz w:val="28"/>
          <w:szCs w:val="28"/>
        </w:rPr>
      </w:pPr>
      <w:r>
        <w:rPr>
          <w:rFonts w:ascii="宋体" w:hAnsi="宋体" w:eastAsia="宋体" w:cs="宋体"/>
          <w:b/>
          <w:color w:val="auto"/>
          <w:sz w:val="28"/>
          <w:szCs w:val="28"/>
        </w:rPr>
        <w:t>（填写正本或副本）</w:t>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6859ABD7">
      <w:pPr>
        <w:pStyle w:val="20"/>
        <w:spacing w:line="360" w:lineRule="exact"/>
        <w:jc w:val="center"/>
        <w:outlineLvl w:val="1"/>
        <w:rPr>
          <w:rFonts w:ascii="宋体" w:hAnsi="宋体" w:eastAsia="宋体" w:cs="宋体"/>
          <w:color w:val="auto"/>
          <w:sz w:val="28"/>
          <w:szCs w:val="28"/>
        </w:rPr>
      </w:pPr>
    </w:p>
    <w:p w14:paraId="67BDACD8">
      <w:pPr>
        <w:pStyle w:val="20"/>
        <w:spacing w:line="360" w:lineRule="exact"/>
        <w:jc w:val="center"/>
        <w:outlineLvl w:val="1"/>
        <w:rPr>
          <w:rFonts w:ascii="宋体" w:hAnsi="宋体" w:eastAsia="宋体" w:cs="宋体"/>
          <w:color w:val="auto"/>
          <w:sz w:val="28"/>
          <w:szCs w:val="28"/>
        </w:rPr>
      </w:pPr>
    </w:p>
    <w:p w14:paraId="38CAA91F">
      <w:pPr>
        <w:pStyle w:val="20"/>
        <w:spacing w:line="360" w:lineRule="exact"/>
        <w:jc w:val="center"/>
        <w:outlineLvl w:val="1"/>
        <w:rPr>
          <w:rFonts w:ascii="宋体" w:hAnsi="宋体" w:eastAsia="宋体" w:cs="宋体"/>
          <w:color w:val="auto"/>
          <w:sz w:val="28"/>
          <w:szCs w:val="28"/>
        </w:rPr>
      </w:pPr>
    </w:p>
    <w:p w14:paraId="6BBC6459">
      <w:pPr>
        <w:pStyle w:val="20"/>
        <w:spacing w:line="360" w:lineRule="exact"/>
        <w:jc w:val="center"/>
        <w:outlineLvl w:val="1"/>
        <w:rPr>
          <w:rFonts w:ascii="宋体" w:hAnsi="宋体" w:eastAsia="宋体" w:cs="宋体"/>
          <w:color w:val="auto"/>
          <w:sz w:val="28"/>
          <w:szCs w:val="28"/>
        </w:rPr>
      </w:pP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4AD1A49F">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（项目名称：（由投标人填写）</w:t>
      </w:r>
    </w:p>
    <w:p w14:paraId="1BD8E8E9">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（备案编号：（由投标人填写）</w:t>
      </w:r>
    </w:p>
    <w:p w14:paraId="17FE3CB0">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（项目编号：（由投标人填写）</w:t>
      </w:r>
    </w:p>
    <w:p w14:paraId="33BBCED3">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（所投采购包：（由投标人填写）</w:t>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4A951865">
      <w:pPr>
        <w:pStyle w:val="20"/>
        <w:spacing w:line="360" w:lineRule="exact"/>
        <w:jc w:val="center"/>
        <w:outlineLvl w:val="2"/>
        <w:rPr>
          <w:rFonts w:ascii="宋体" w:hAnsi="宋体" w:eastAsia="宋体" w:cs="宋体"/>
          <w:b/>
          <w:color w:val="auto"/>
          <w:sz w:val="28"/>
          <w:szCs w:val="28"/>
        </w:rPr>
      </w:pPr>
    </w:p>
    <w:p w14:paraId="17CB5E0D">
      <w:pPr>
        <w:pStyle w:val="20"/>
        <w:spacing w:line="360" w:lineRule="exact"/>
        <w:jc w:val="center"/>
        <w:outlineLvl w:val="2"/>
        <w:rPr>
          <w:rFonts w:ascii="宋体" w:hAnsi="宋体" w:eastAsia="宋体" w:cs="宋体"/>
          <w:b/>
          <w:color w:val="auto"/>
          <w:sz w:val="28"/>
          <w:szCs w:val="28"/>
        </w:rPr>
      </w:pPr>
    </w:p>
    <w:p w14:paraId="69FF693C">
      <w:pPr>
        <w:pStyle w:val="20"/>
        <w:spacing w:line="360" w:lineRule="exact"/>
        <w:jc w:val="center"/>
        <w:outlineLvl w:val="2"/>
        <w:rPr>
          <w:rFonts w:ascii="宋体" w:hAnsi="宋体" w:eastAsia="宋体" w:cs="宋体"/>
          <w:b/>
          <w:color w:val="auto"/>
          <w:sz w:val="28"/>
          <w:szCs w:val="28"/>
        </w:rPr>
      </w:pPr>
    </w:p>
    <w:p w14:paraId="17E62B1B">
      <w:pPr>
        <w:pStyle w:val="20"/>
        <w:spacing w:line="360" w:lineRule="exact"/>
        <w:jc w:val="center"/>
        <w:outlineLvl w:val="2"/>
        <w:rPr>
          <w:rFonts w:ascii="宋体" w:hAnsi="宋体" w:eastAsia="宋体" w:cs="宋体"/>
          <w:b/>
          <w:color w:val="auto"/>
          <w:sz w:val="28"/>
          <w:szCs w:val="28"/>
        </w:rPr>
      </w:pPr>
    </w:p>
    <w:p w14:paraId="3FA7CFB9">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投标人：（填写“全称”）</w:t>
      </w:r>
    </w:p>
    <w:p w14:paraId="3C9385F1">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8"/>
          <w:szCs w:val="28"/>
        </w:rPr>
        <w:t>（由投标人填写）年（由投标人填写）月</w:t>
      </w:r>
    </w:p>
    <w:p w14:paraId="1ED8A09D">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1B6BBD7">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索引</w:t>
      </w:r>
    </w:p>
    <w:p w14:paraId="77F4486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一、开标（报价）一览表</w:t>
      </w:r>
    </w:p>
    <w:p w14:paraId="35BB047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二、投标（响应）报价明细表</w:t>
      </w:r>
    </w:p>
    <w:p w14:paraId="0B0E446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三、招标文件规定的价格扣除证明材料（若有）</w:t>
      </w:r>
    </w:p>
    <w:p w14:paraId="09AE451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96889F1">
      <w:pPr>
        <w:pStyle w:val="20"/>
        <w:spacing w:line="360" w:lineRule="exact"/>
        <w:jc w:val="center"/>
        <w:rPr>
          <w:rFonts w:cs="宋体"/>
          <w:b/>
          <w:bCs/>
          <w:color w:val="auto"/>
          <w:sz w:val="24"/>
          <w:szCs w:val="24"/>
        </w:rPr>
      </w:pPr>
      <w:r>
        <w:rPr>
          <w:rFonts w:cs="宋体"/>
          <w:b/>
          <w:bCs/>
          <w:color w:val="auto"/>
          <w:sz w:val="28"/>
          <w:szCs w:val="28"/>
          <w:shd w:val="clear" w:color="auto" w:fill="FFFFFF"/>
        </w:rPr>
        <w:t>开标（报价）一览表</w:t>
      </w:r>
    </w:p>
    <w:p w14:paraId="29242791">
      <w:pPr>
        <w:widowControl/>
        <w:shd w:val="clear" w:color="auto" w:fill="FFFFFF"/>
        <w:jc w:val="left"/>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项目编号：</w:t>
      </w:r>
      <w:r>
        <w:rPr>
          <w:rFonts w:hint="eastAsia" w:ascii="宋体" w:hAnsi="宋体" w:cs="宋体"/>
          <w:color w:val="auto"/>
          <w:kern w:val="0"/>
          <w:sz w:val="24"/>
          <w:shd w:val="clear" w:color="auto" w:fill="FFFFFF"/>
          <w:lang w:eastAsia="zh-CN" w:bidi="ar"/>
        </w:rPr>
        <w:t>[350101]FJZSZB[GK]2025001</w:t>
      </w:r>
    </w:p>
    <w:p w14:paraId="255B6DC4">
      <w:pPr>
        <w:widowControl/>
        <w:shd w:val="clear" w:color="auto" w:fill="FFFFFF"/>
        <w:jc w:val="left"/>
        <w:rPr>
          <w:rFonts w:hint="eastAsia" w:ascii="宋体" w:hAnsi="宋体" w:eastAsia="宋体" w:cs="宋体"/>
          <w:color w:val="auto"/>
          <w:sz w:val="24"/>
          <w:lang w:eastAsia="zh-CN"/>
        </w:rPr>
      </w:pPr>
      <w:r>
        <w:rPr>
          <w:rFonts w:hint="eastAsia" w:ascii="宋体" w:hAnsi="宋体" w:cs="宋体"/>
          <w:color w:val="auto"/>
          <w:kern w:val="0"/>
          <w:sz w:val="24"/>
          <w:shd w:val="clear" w:color="auto" w:fill="FFFFFF"/>
          <w:lang w:bidi="ar"/>
        </w:rPr>
        <w:t>项目名称：</w:t>
      </w:r>
      <w:r>
        <w:rPr>
          <w:rFonts w:hint="eastAsia" w:ascii="宋体" w:hAnsi="宋体" w:cs="宋体"/>
          <w:color w:val="auto"/>
          <w:kern w:val="0"/>
          <w:sz w:val="24"/>
          <w:shd w:val="clear" w:color="auto" w:fill="FFFFFF"/>
          <w:lang w:eastAsia="zh-CN" w:bidi="ar"/>
        </w:rPr>
        <w:t>花海公园(含环南台岛江滨休闲路解放大桥至花海公园段)绿化养护服务采购项目</w:t>
      </w:r>
    </w:p>
    <w:p w14:paraId="7EE7EB7F">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采购包：</w:t>
      </w:r>
      <w:r>
        <w:rPr>
          <w:rFonts w:hint="eastAsia" w:ascii="宋体" w:hAnsi="宋体" w:cs="宋体"/>
          <w:color w:val="auto"/>
          <w:sz w:val="24"/>
        </w:rPr>
        <w:t>1（</w:t>
      </w:r>
      <w:r>
        <w:rPr>
          <w:rFonts w:hint="eastAsia" w:ascii="宋体" w:hAnsi="宋体" w:cs="宋体"/>
          <w:color w:val="auto"/>
          <w:kern w:val="0"/>
          <w:sz w:val="24"/>
          <w:shd w:val="clear" w:color="auto" w:fill="FFFFFF"/>
          <w:lang w:eastAsia="zh-CN" w:bidi="ar"/>
        </w:rPr>
        <w:t>花海公园(含环南台岛江滨休闲路解放大桥至花海公园段)绿化养护服务采购项目</w:t>
      </w:r>
      <w:r>
        <w:rPr>
          <w:rFonts w:hint="eastAsia" w:ascii="宋体" w:hAnsi="宋体" w:cs="宋体"/>
          <w:color w:val="auto"/>
          <w:sz w:val="24"/>
        </w:rPr>
        <w:t>）</w:t>
      </w:r>
    </w:p>
    <w:p w14:paraId="52C5EDFB">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投标人（供应商）名称：</w:t>
      </w:r>
    </w:p>
    <w:tbl>
      <w:tblPr>
        <w:tblStyle w:val="15"/>
        <w:tblW w:w="5000" w:type="pct"/>
        <w:tblInd w:w="0" w:type="dxa"/>
        <w:tblLayout w:type="autofit"/>
        <w:tblCellMar>
          <w:top w:w="0" w:type="dxa"/>
          <w:left w:w="0" w:type="dxa"/>
          <w:bottom w:w="0" w:type="dxa"/>
          <w:right w:w="0" w:type="dxa"/>
        </w:tblCellMar>
      </w:tblPr>
      <w:tblGrid>
        <w:gridCol w:w="700"/>
        <w:gridCol w:w="4188"/>
        <w:gridCol w:w="1614"/>
        <w:gridCol w:w="2012"/>
        <w:gridCol w:w="1186"/>
      </w:tblGrid>
      <w:tr w14:paraId="048C7D3A">
        <w:tblPrEx>
          <w:tblCellMar>
            <w:top w:w="0" w:type="dxa"/>
            <w:left w:w="0" w:type="dxa"/>
            <w:bottom w:w="0" w:type="dxa"/>
            <w:right w:w="0" w:type="dxa"/>
          </w:tblCellMar>
        </w:tblPrEx>
        <w:trPr>
          <w:trHeight w:val="552" w:hRule="atLeast"/>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1ADD7C3">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序号</w:t>
            </w:r>
          </w:p>
        </w:tc>
        <w:tc>
          <w:tcPr>
            <w:tcW w:w="2159"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4964315">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报价内容</w:t>
            </w:r>
          </w:p>
        </w:tc>
        <w:tc>
          <w:tcPr>
            <w:tcW w:w="832"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1420D81">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最高限价</w:t>
            </w:r>
          </w:p>
        </w:tc>
        <w:tc>
          <w:tcPr>
            <w:tcW w:w="1037"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8FD1D8B">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响应报价</w:t>
            </w:r>
          </w:p>
        </w:tc>
        <w:tc>
          <w:tcPr>
            <w:tcW w:w="611"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1DCEE66">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价款形式</w:t>
            </w:r>
          </w:p>
        </w:tc>
      </w:tr>
      <w:tr w14:paraId="6BBD3D45">
        <w:tblPrEx>
          <w:tblCellMar>
            <w:top w:w="0" w:type="dxa"/>
            <w:left w:w="0" w:type="dxa"/>
            <w:bottom w:w="0" w:type="dxa"/>
            <w:right w:w="0" w:type="dxa"/>
          </w:tblCellMar>
        </w:tblPrEx>
        <w:trPr>
          <w:trHeight w:val="774" w:hRule="atLeast"/>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0BD33">
            <w:pPr>
              <w:widowControl/>
              <w:wordWrap w:val="0"/>
              <w:jc w:val="center"/>
              <w:rPr>
                <w:rFonts w:hint="eastAsia" w:ascii="宋体" w:hAnsi="宋体" w:cs="宋体"/>
                <w:color w:val="auto"/>
                <w:sz w:val="24"/>
              </w:rPr>
            </w:pPr>
            <w:r>
              <w:rPr>
                <w:rFonts w:hint="eastAsia" w:ascii="宋体" w:hAnsi="宋体" w:cs="宋体"/>
                <w:color w:val="auto"/>
                <w:kern w:val="0"/>
                <w:sz w:val="24"/>
                <w:lang w:bidi="ar"/>
              </w:rPr>
              <w:t>1</w:t>
            </w:r>
          </w:p>
        </w:tc>
        <w:tc>
          <w:tcPr>
            <w:tcW w:w="215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BB7B8E">
            <w:pPr>
              <w:widowControl/>
              <w:wordWrap w:val="0"/>
              <w:jc w:val="left"/>
              <w:rPr>
                <w:rFonts w:hint="eastAsia" w:ascii="宋体" w:hAnsi="宋体" w:eastAsia="宋体" w:cs="宋体"/>
                <w:color w:val="auto"/>
                <w:sz w:val="24"/>
                <w:lang w:eastAsia="zh-CN"/>
              </w:rPr>
            </w:pPr>
            <w:r>
              <w:rPr>
                <w:rFonts w:hint="eastAsia" w:ascii="宋体" w:hAnsi="宋体" w:cs="宋体"/>
                <w:color w:val="auto"/>
                <w:kern w:val="0"/>
                <w:sz w:val="24"/>
                <w:lang w:eastAsia="zh-CN" w:bidi="ar"/>
              </w:rPr>
              <w:t>花海公园(含环南台岛江滨休闲路解放大桥至花海公园段)绿化养护服务采购项目</w:t>
            </w:r>
          </w:p>
        </w:tc>
        <w:tc>
          <w:tcPr>
            <w:tcW w:w="832"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D35499">
            <w:pPr>
              <w:widowControl/>
              <w:wordWrap w:val="0"/>
              <w:jc w:val="center"/>
              <w:rPr>
                <w:rFonts w:hint="eastAsia" w:ascii="宋体" w:hAnsi="宋体" w:cs="宋体"/>
                <w:color w:val="auto"/>
                <w:sz w:val="24"/>
              </w:rPr>
            </w:pPr>
            <w:r>
              <w:rPr>
                <w:rFonts w:hint="eastAsia" w:ascii="宋体" w:hAnsi="宋体" w:cs="宋体"/>
                <w:color w:val="auto"/>
                <w:kern w:val="0"/>
                <w:sz w:val="24"/>
                <w:lang w:bidi="ar"/>
              </w:rPr>
              <w:t>13,770,000.00元</w:t>
            </w:r>
          </w:p>
        </w:tc>
        <w:tc>
          <w:tcPr>
            <w:tcW w:w="103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52D723A">
            <w:pPr>
              <w:widowControl/>
              <w:wordWrap w:val="0"/>
              <w:jc w:val="center"/>
              <w:rPr>
                <w:rFonts w:hint="eastAsia" w:ascii="宋体" w:hAnsi="宋体" w:cs="宋体"/>
                <w:color w:val="auto"/>
                <w:sz w:val="24"/>
              </w:rPr>
            </w:pPr>
            <w:r>
              <w:rPr>
                <w:rFonts w:hint="eastAsia" w:ascii="宋体" w:hAnsi="宋体" w:cs="宋体"/>
                <w:color w:val="auto"/>
                <w:kern w:val="0"/>
                <w:sz w:val="24"/>
                <w:lang w:bidi="ar"/>
              </w:rPr>
              <w:t>「汇总引用」元</w:t>
            </w:r>
          </w:p>
        </w:tc>
        <w:tc>
          <w:tcPr>
            <w:tcW w:w="61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26FB5F">
            <w:pPr>
              <w:widowControl/>
              <w:wordWrap w:val="0"/>
              <w:jc w:val="center"/>
              <w:rPr>
                <w:rFonts w:hint="eastAsia" w:ascii="宋体" w:hAnsi="宋体" w:cs="宋体"/>
                <w:color w:val="auto"/>
                <w:sz w:val="24"/>
              </w:rPr>
            </w:pPr>
            <w:r>
              <w:rPr>
                <w:rFonts w:hint="eastAsia" w:ascii="宋体" w:hAnsi="宋体" w:cs="宋体"/>
                <w:color w:val="auto"/>
                <w:kern w:val="0"/>
                <w:sz w:val="24"/>
                <w:lang w:bidi="ar"/>
              </w:rPr>
              <w:t>总价</w:t>
            </w:r>
          </w:p>
        </w:tc>
      </w:tr>
    </w:tbl>
    <w:p w14:paraId="70121940">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备注：无</w:t>
      </w:r>
    </w:p>
    <w:p w14:paraId="035F4022">
      <w:pPr>
        <w:widowControl/>
        <w:shd w:val="clear" w:color="auto" w:fill="FFFFFF"/>
        <w:jc w:val="right"/>
        <w:rPr>
          <w:rFonts w:hint="eastAsia" w:ascii="宋体" w:hAnsi="宋体" w:cs="宋体"/>
          <w:color w:val="auto"/>
          <w:kern w:val="0"/>
          <w:sz w:val="24"/>
          <w:shd w:val="clear" w:color="auto" w:fill="FFFFFF"/>
          <w:lang w:bidi="ar"/>
        </w:rPr>
      </w:pPr>
    </w:p>
    <w:p w14:paraId="0F06E519">
      <w:pPr>
        <w:pStyle w:val="20"/>
        <w:spacing w:line="360" w:lineRule="exact"/>
        <w:rPr>
          <w:rFonts w:ascii="宋体" w:hAnsi="宋体" w:eastAsia="宋体" w:cs="宋体"/>
          <w:color w:val="auto"/>
          <w:sz w:val="24"/>
          <w:szCs w:val="24"/>
        </w:rPr>
      </w:pPr>
      <w:r>
        <w:rPr>
          <w:rFonts w:ascii="宋体" w:hAnsi="宋体" w:eastAsia="宋体" w:cs="宋体"/>
          <w:color w:val="auto"/>
          <w:sz w:val="24"/>
          <w:szCs w:val="24"/>
          <w:lang w:eastAsia="zh-CN"/>
        </w:rPr>
        <w:t>公章</w:t>
      </w:r>
      <w:r>
        <w:rPr>
          <w:rFonts w:ascii="宋体" w:hAnsi="宋体" w:eastAsia="宋体" w:cs="宋体"/>
          <w:color w:val="auto"/>
          <w:sz w:val="24"/>
          <w:szCs w:val="24"/>
        </w:rPr>
        <w:t>：</w:t>
      </w:r>
    </w:p>
    <w:p w14:paraId="63DB50C6">
      <w:pPr>
        <w:widowControl/>
        <w:shd w:val="clear" w:color="auto" w:fill="FFFFFF"/>
        <w:rPr>
          <w:rFonts w:cs="宋体"/>
          <w:color w:val="auto"/>
          <w:sz w:val="28"/>
          <w:szCs w:val="28"/>
          <w:shd w:val="clear" w:color="auto" w:fill="FFFFFF"/>
        </w:rPr>
      </w:pPr>
      <w:r>
        <w:rPr>
          <w:rFonts w:hint="eastAsia" w:ascii="宋体" w:hAnsi="宋体" w:cs="宋体"/>
          <w:color w:val="auto"/>
          <w:sz w:val="24"/>
        </w:rPr>
        <w:t xml:space="preserve">日期：      年     月     日 </w:t>
      </w:r>
      <w:r>
        <w:rPr>
          <w:rFonts w:hint="eastAsia" w:ascii="宋体" w:hAnsi="宋体" w:cs="宋体"/>
          <w:color w:val="auto"/>
          <w:kern w:val="0"/>
          <w:sz w:val="24"/>
          <w:shd w:val="clear" w:color="auto" w:fill="FFFFFF"/>
          <w:lang w:bidi="ar"/>
        </w:rPr>
        <w:t>                      </w:t>
      </w:r>
    </w:p>
    <w:p w14:paraId="17FEF2A3">
      <w:pPr>
        <w:pStyle w:val="2"/>
        <w:widowControl/>
        <w:spacing w:beforeAutospacing="0" w:afterAutospacing="0"/>
        <w:jc w:val="center"/>
        <w:rPr>
          <w:rFonts w:hint="eastAsia" w:ascii="宋体" w:hAnsi="宋体" w:cs="宋体"/>
          <w:color w:val="auto"/>
          <w:kern w:val="0"/>
          <w:sz w:val="24"/>
          <w:shd w:val="clear" w:color="auto" w:fill="FFFFFF"/>
          <w:lang w:bidi="ar"/>
        </w:rPr>
      </w:pPr>
      <w:r>
        <w:rPr>
          <w:rFonts w:cs="宋体"/>
          <w:color w:val="auto"/>
          <w:sz w:val="28"/>
          <w:szCs w:val="28"/>
          <w:shd w:val="clear" w:color="auto" w:fill="FFFFFF"/>
        </w:rPr>
        <w:t>投标（响应）报价明细表</w:t>
      </w:r>
    </w:p>
    <w:p w14:paraId="2BFC704D">
      <w:pPr>
        <w:widowControl/>
        <w:shd w:val="clear" w:color="auto" w:fill="FFFFFF"/>
        <w:jc w:val="left"/>
        <w:rPr>
          <w:rFonts w:hint="eastAsia" w:ascii="宋体" w:hAnsi="宋体" w:eastAsia="宋体" w:cs="宋体"/>
          <w:color w:val="auto"/>
          <w:kern w:val="0"/>
          <w:sz w:val="24"/>
          <w:shd w:val="clear" w:color="auto" w:fill="FFFFFF"/>
          <w:lang w:eastAsia="zh-CN" w:bidi="ar"/>
        </w:rPr>
      </w:pPr>
      <w:r>
        <w:rPr>
          <w:rFonts w:hint="eastAsia" w:ascii="宋体" w:hAnsi="宋体" w:cs="宋体"/>
          <w:color w:val="auto"/>
          <w:kern w:val="0"/>
          <w:sz w:val="24"/>
          <w:shd w:val="clear" w:color="auto" w:fill="FFFFFF"/>
          <w:lang w:bidi="ar"/>
        </w:rPr>
        <w:t>项目编号：</w:t>
      </w:r>
      <w:r>
        <w:rPr>
          <w:rFonts w:hint="eastAsia" w:ascii="宋体" w:hAnsi="宋体" w:cs="宋体"/>
          <w:color w:val="auto"/>
          <w:kern w:val="0"/>
          <w:sz w:val="24"/>
          <w:shd w:val="clear" w:color="auto" w:fill="FFFFFF"/>
          <w:lang w:eastAsia="zh-CN" w:bidi="ar"/>
        </w:rPr>
        <w:t>[350101]FJZSZB[GK]2025001</w:t>
      </w:r>
    </w:p>
    <w:p w14:paraId="35DD1AD7">
      <w:pPr>
        <w:widowControl/>
        <w:shd w:val="clear" w:color="auto" w:fill="FFFFFF"/>
        <w:jc w:val="left"/>
        <w:rPr>
          <w:rFonts w:hint="eastAsia" w:ascii="宋体" w:hAnsi="宋体" w:eastAsia="宋体" w:cs="宋体"/>
          <w:color w:val="auto"/>
          <w:sz w:val="24"/>
          <w:lang w:eastAsia="zh-CN"/>
        </w:rPr>
      </w:pPr>
      <w:r>
        <w:rPr>
          <w:rFonts w:hint="eastAsia" w:ascii="宋体" w:hAnsi="宋体" w:cs="宋体"/>
          <w:color w:val="auto"/>
          <w:kern w:val="0"/>
          <w:sz w:val="24"/>
          <w:shd w:val="clear" w:color="auto" w:fill="FFFFFF"/>
          <w:lang w:bidi="ar"/>
        </w:rPr>
        <w:t>项目名称：</w:t>
      </w:r>
      <w:r>
        <w:rPr>
          <w:rFonts w:hint="eastAsia" w:ascii="宋体" w:hAnsi="宋体" w:cs="宋体"/>
          <w:color w:val="auto"/>
          <w:kern w:val="0"/>
          <w:sz w:val="24"/>
          <w:shd w:val="clear" w:color="auto" w:fill="FFFFFF"/>
          <w:lang w:eastAsia="zh-CN" w:bidi="ar"/>
        </w:rPr>
        <w:t>花海公园(含环南台岛江滨休闲路解放大桥至花海公园段)绿化养护服务采购项目</w:t>
      </w:r>
    </w:p>
    <w:p w14:paraId="54518763">
      <w:pPr>
        <w:widowControl/>
        <w:shd w:val="clear" w:color="auto" w:fill="FFFFFF"/>
        <w:jc w:val="left"/>
        <w:rPr>
          <w:rFonts w:hint="eastAsia" w:ascii="宋体" w:hAnsi="宋体" w:eastAsia="宋体" w:cs="宋体"/>
          <w:color w:val="auto"/>
          <w:sz w:val="24"/>
          <w:lang w:eastAsia="zh-CN"/>
        </w:rPr>
      </w:pPr>
      <w:r>
        <w:rPr>
          <w:rFonts w:hint="eastAsia" w:ascii="宋体" w:hAnsi="宋体" w:cs="宋体"/>
          <w:color w:val="auto"/>
          <w:kern w:val="0"/>
          <w:sz w:val="24"/>
          <w:shd w:val="clear" w:color="auto" w:fill="FFFFFF"/>
          <w:lang w:bidi="ar"/>
        </w:rPr>
        <w:t>采购包：</w:t>
      </w:r>
      <w:r>
        <w:rPr>
          <w:rFonts w:hint="eastAsia" w:ascii="宋体" w:hAnsi="宋体" w:cs="宋体"/>
          <w:color w:val="auto"/>
          <w:kern w:val="0"/>
          <w:sz w:val="24"/>
          <w:shd w:val="clear" w:color="auto" w:fill="FFFFFF"/>
          <w:lang w:eastAsia="zh-CN" w:bidi="ar"/>
        </w:rPr>
        <w:t>花海公园(含环南台岛江滨休闲路解放大桥至花海公园段)绿化养护服务采购项目</w:t>
      </w:r>
    </w:p>
    <w:p w14:paraId="64C16BE5">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投标人名称：</w:t>
      </w:r>
    </w:p>
    <w:p w14:paraId="6BFD8327">
      <w:pPr>
        <w:widowControl/>
        <w:shd w:val="clear" w:color="auto" w:fill="FFFFFF"/>
        <w:jc w:val="left"/>
        <w:rPr>
          <w:rFonts w:hint="eastAsia" w:ascii="宋体" w:hAnsi="宋体" w:eastAsia="宋体" w:cs="宋体"/>
          <w:color w:val="auto"/>
          <w:sz w:val="24"/>
          <w:lang w:eastAsia="zh-CN"/>
        </w:rPr>
      </w:pPr>
      <w:r>
        <w:rPr>
          <w:rFonts w:hint="eastAsia" w:ascii="宋体" w:hAnsi="宋体" w:cs="宋体"/>
          <w:color w:val="auto"/>
          <w:kern w:val="0"/>
          <w:sz w:val="24"/>
          <w:shd w:val="clear" w:color="auto" w:fill="FFFFFF"/>
          <w:lang w:eastAsia="zh-CN" w:bidi="ar"/>
        </w:rPr>
        <w:t>花海公园(含环南台岛江滨休闲路解放大桥至花海公园段)绿化养护服务采购项目</w:t>
      </w:r>
    </w:p>
    <w:tbl>
      <w:tblPr>
        <w:tblStyle w:val="15"/>
        <w:tblW w:w="5000" w:type="pct"/>
        <w:tblInd w:w="0" w:type="dxa"/>
        <w:tblLayout w:type="fixed"/>
        <w:tblCellMar>
          <w:top w:w="0" w:type="dxa"/>
          <w:left w:w="0" w:type="dxa"/>
          <w:bottom w:w="0" w:type="dxa"/>
          <w:right w:w="0" w:type="dxa"/>
        </w:tblCellMar>
      </w:tblPr>
      <w:tblGrid>
        <w:gridCol w:w="528"/>
        <w:gridCol w:w="1414"/>
        <w:gridCol w:w="815"/>
        <w:gridCol w:w="816"/>
        <w:gridCol w:w="816"/>
        <w:gridCol w:w="883"/>
        <w:gridCol w:w="1233"/>
        <w:gridCol w:w="717"/>
        <w:gridCol w:w="645"/>
        <w:gridCol w:w="825"/>
        <w:gridCol w:w="1008"/>
      </w:tblGrid>
      <w:tr w14:paraId="29018F78">
        <w:tblPrEx>
          <w:tblCellMar>
            <w:top w:w="0" w:type="dxa"/>
            <w:left w:w="0" w:type="dxa"/>
            <w:bottom w:w="0" w:type="dxa"/>
            <w:right w:w="0" w:type="dxa"/>
          </w:tblCellMar>
        </w:tblPrEx>
        <w:trPr>
          <w:trHeight w:val="729" w:hRule="atLeast"/>
          <w:tblHeader/>
        </w:trPr>
        <w:tc>
          <w:tcPr>
            <w:tcW w:w="52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E47EBE7">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序号</w:t>
            </w:r>
          </w:p>
        </w:tc>
        <w:tc>
          <w:tcPr>
            <w:tcW w:w="141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D28DEF4">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服务名称</w:t>
            </w:r>
          </w:p>
        </w:tc>
        <w:tc>
          <w:tcPr>
            <w:tcW w:w="81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172D6BB">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服务范围</w:t>
            </w:r>
          </w:p>
        </w:tc>
        <w:tc>
          <w:tcPr>
            <w:tcW w:w="81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C4C01C7">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服务要求</w:t>
            </w:r>
          </w:p>
        </w:tc>
        <w:tc>
          <w:tcPr>
            <w:tcW w:w="81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223FFB">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服务时间</w:t>
            </w:r>
          </w:p>
        </w:tc>
        <w:tc>
          <w:tcPr>
            <w:tcW w:w="88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DF9FCAC">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服务标准</w:t>
            </w:r>
          </w:p>
        </w:tc>
        <w:tc>
          <w:tcPr>
            <w:tcW w:w="123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CD145C8">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最高限价</w:t>
            </w:r>
          </w:p>
        </w:tc>
        <w:tc>
          <w:tcPr>
            <w:tcW w:w="71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F7CD613">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单价</w:t>
            </w:r>
          </w:p>
        </w:tc>
        <w:tc>
          <w:tcPr>
            <w:tcW w:w="64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DE66356">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数量</w:t>
            </w:r>
          </w:p>
        </w:tc>
        <w:tc>
          <w:tcPr>
            <w:tcW w:w="82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C8E6BF0">
            <w:pPr>
              <w:widowControl/>
              <w:wordWrap w:val="0"/>
              <w:jc w:val="left"/>
              <w:rPr>
                <w:rFonts w:hint="eastAsia" w:ascii="宋体" w:hAnsi="宋体" w:cs="宋体"/>
                <w:b/>
                <w:bCs/>
                <w:color w:val="auto"/>
                <w:sz w:val="24"/>
              </w:rPr>
            </w:pPr>
            <w:r>
              <w:rPr>
                <w:rFonts w:hint="eastAsia" w:ascii="宋体" w:hAnsi="宋体" w:cs="宋体"/>
                <w:b/>
                <w:bCs/>
                <w:color w:val="auto"/>
                <w:kern w:val="0"/>
                <w:sz w:val="24"/>
                <w:lang w:bidi="ar"/>
              </w:rPr>
              <w:t>计量单位</w:t>
            </w:r>
          </w:p>
        </w:tc>
        <w:tc>
          <w:tcPr>
            <w:tcW w:w="100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A212BF1">
            <w:pPr>
              <w:widowControl/>
              <w:wordWrap w:val="0"/>
              <w:jc w:val="center"/>
              <w:rPr>
                <w:rFonts w:hint="eastAsia" w:ascii="宋体" w:hAnsi="宋体" w:cs="宋体"/>
                <w:b/>
                <w:bCs/>
                <w:color w:val="auto"/>
                <w:sz w:val="24"/>
              </w:rPr>
            </w:pPr>
            <w:r>
              <w:rPr>
                <w:rFonts w:hint="eastAsia" w:ascii="宋体" w:hAnsi="宋体" w:cs="宋体"/>
                <w:b/>
                <w:bCs/>
                <w:color w:val="auto"/>
                <w:kern w:val="0"/>
                <w:sz w:val="24"/>
                <w:lang w:bidi="ar"/>
              </w:rPr>
              <w:t>总价</w:t>
            </w:r>
          </w:p>
        </w:tc>
      </w:tr>
      <w:tr w14:paraId="028F5C31">
        <w:tblPrEx>
          <w:tblCellMar>
            <w:top w:w="0" w:type="dxa"/>
            <w:left w:w="0" w:type="dxa"/>
            <w:bottom w:w="0" w:type="dxa"/>
            <w:right w:w="0" w:type="dxa"/>
          </w:tblCellMar>
        </w:tblPrEx>
        <w:tc>
          <w:tcPr>
            <w:tcW w:w="52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7C3DE">
            <w:pPr>
              <w:widowControl/>
              <w:wordWrap w:val="0"/>
              <w:jc w:val="center"/>
              <w:rPr>
                <w:rFonts w:hint="eastAsia" w:ascii="宋体" w:hAnsi="宋体" w:cs="宋体"/>
                <w:color w:val="auto"/>
                <w:sz w:val="24"/>
              </w:rPr>
            </w:pPr>
            <w:r>
              <w:rPr>
                <w:rFonts w:hint="eastAsia" w:ascii="宋体" w:hAnsi="宋体" w:cs="宋体"/>
                <w:color w:val="auto"/>
                <w:kern w:val="0"/>
                <w:sz w:val="24"/>
                <w:lang w:bidi="ar"/>
              </w:rPr>
              <w:t>1</w:t>
            </w:r>
          </w:p>
        </w:tc>
        <w:tc>
          <w:tcPr>
            <w:tcW w:w="141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C76D2F4">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szCs w:val="24"/>
              </w:rPr>
              <w:t>花海公园绿化及播种养护</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项目</w:t>
            </w:r>
          </w:p>
        </w:tc>
        <w:tc>
          <w:tcPr>
            <w:tcW w:w="81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5139B2">
            <w:pPr>
              <w:widowControl/>
              <w:wordWrap w:val="0"/>
              <w:jc w:val="center"/>
              <w:rPr>
                <w:rFonts w:hint="eastAsia" w:ascii="宋体" w:hAnsi="宋体" w:cs="宋体"/>
                <w:color w:val="auto"/>
                <w:sz w:val="24"/>
              </w:rPr>
            </w:pPr>
            <w:r>
              <w:rPr>
                <w:rFonts w:hint="eastAsia" w:ascii="宋体" w:hAnsi="宋体" w:cs="宋体"/>
                <w:color w:val="auto"/>
                <w:kern w:val="0"/>
                <w:sz w:val="24"/>
                <w:lang w:bidi="ar"/>
              </w:rPr>
              <w:t>{供应商响应}</w:t>
            </w:r>
          </w:p>
        </w:tc>
        <w:tc>
          <w:tcPr>
            <w:tcW w:w="81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4308051">
            <w:pPr>
              <w:widowControl/>
              <w:wordWrap w:val="0"/>
              <w:jc w:val="center"/>
              <w:rPr>
                <w:rFonts w:hint="eastAsia" w:ascii="宋体" w:hAnsi="宋体" w:cs="宋体"/>
                <w:color w:val="auto"/>
                <w:sz w:val="24"/>
              </w:rPr>
            </w:pPr>
            <w:r>
              <w:rPr>
                <w:rFonts w:hint="eastAsia" w:ascii="宋体" w:hAnsi="宋体" w:cs="宋体"/>
                <w:color w:val="auto"/>
                <w:kern w:val="0"/>
                <w:sz w:val="24"/>
                <w:lang w:bidi="ar"/>
              </w:rPr>
              <w:t>{供应商响应}</w:t>
            </w:r>
          </w:p>
        </w:tc>
        <w:tc>
          <w:tcPr>
            <w:tcW w:w="81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D146978">
            <w:pPr>
              <w:widowControl/>
              <w:wordWrap w:val="0"/>
              <w:jc w:val="center"/>
              <w:rPr>
                <w:rFonts w:hint="eastAsia" w:ascii="宋体" w:hAnsi="宋体" w:cs="宋体"/>
                <w:color w:val="auto"/>
                <w:sz w:val="24"/>
              </w:rPr>
            </w:pPr>
            <w:r>
              <w:rPr>
                <w:rFonts w:hint="eastAsia" w:ascii="宋体" w:hAnsi="宋体" w:cs="宋体"/>
                <w:color w:val="auto"/>
                <w:kern w:val="0"/>
                <w:sz w:val="24"/>
                <w:lang w:bidi="ar"/>
              </w:rPr>
              <w:t>{供应商响应}</w:t>
            </w:r>
          </w:p>
        </w:tc>
        <w:tc>
          <w:tcPr>
            <w:tcW w:w="8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9AD988C">
            <w:pPr>
              <w:widowControl/>
              <w:wordWrap w:val="0"/>
              <w:jc w:val="center"/>
              <w:rPr>
                <w:rFonts w:hint="eastAsia" w:ascii="宋体" w:hAnsi="宋体" w:cs="宋体"/>
                <w:color w:val="auto"/>
                <w:sz w:val="24"/>
              </w:rPr>
            </w:pPr>
            <w:r>
              <w:rPr>
                <w:rFonts w:hint="eastAsia" w:ascii="宋体" w:hAnsi="宋体" w:cs="宋体"/>
                <w:color w:val="auto"/>
                <w:kern w:val="0"/>
                <w:sz w:val="24"/>
                <w:lang w:bidi="ar"/>
              </w:rPr>
              <w:t>{供应商响应}</w:t>
            </w:r>
          </w:p>
        </w:tc>
        <w:tc>
          <w:tcPr>
            <w:tcW w:w="12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C8249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default" w:ascii="宋体" w:hAnsi="宋体" w:cs="宋体"/>
                <w:color w:val="auto"/>
                <w:sz w:val="24"/>
                <w:lang w:val="en-US"/>
              </w:rPr>
            </w:pPr>
            <w:r>
              <w:rPr>
                <w:rFonts w:hint="eastAsia" w:asciiTheme="minorEastAsia" w:hAnsiTheme="minorEastAsia" w:eastAsiaTheme="minorEastAsia" w:cstheme="minorEastAsia"/>
                <w:color w:val="auto"/>
                <w:kern w:val="0"/>
                <w:sz w:val="24"/>
                <w:szCs w:val="24"/>
                <w:highlight w:val="none"/>
                <w:lang w:val="en-US" w:eastAsia="zh-CN" w:bidi="ar"/>
              </w:rPr>
              <w:t>13500000</w:t>
            </w:r>
          </w:p>
        </w:tc>
        <w:tc>
          <w:tcPr>
            <w:tcW w:w="71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29B525">
            <w:pPr>
              <w:widowControl/>
              <w:wordWrap w:val="0"/>
              <w:jc w:val="center"/>
              <w:rPr>
                <w:rFonts w:hint="eastAsia" w:ascii="宋体" w:hAnsi="宋体" w:cs="宋体"/>
                <w:color w:val="auto"/>
                <w:sz w:val="24"/>
              </w:rPr>
            </w:pPr>
            <w:r>
              <w:rPr>
                <w:rFonts w:hint="eastAsia" w:ascii="宋体" w:hAnsi="宋体" w:cs="宋体"/>
                <w:color w:val="auto"/>
                <w:kern w:val="0"/>
                <w:sz w:val="24"/>
                <w:lang w:bidi="ar"/>
              </w:rPr>
              <w:t>{=总价/数量}元</w:t>
            </w:r>
          </w:p>
        </w:tc>
        <w:tc>
          <w:tcPr>
            <w:tcW w:w="64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77D9EC">
            <w:pPr>
              <w:widowControl/>
              <w:wordWrap w:val="0"/>
              <w:jc w:val="center"/>
              <w:rPr>
                <w:rFonts w:hint="eastAsia" w:ascii="宋体" w:hAnsi="宋体" w:cs="宋体"/>
                <w:color w:val="auto"/>
                <w:sz w:val="24"/>
              </w:rPr>
            </w:pP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.0000</w:t>
            </w:r>
          </w:p>
        </w:tc>
        <w:tc>
          <w:tcPr>
            <w:tcW w:w="82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F9EC29">
            <w:pPr>
              <w:widowControl/>
              <w:wordWrap w:val="0"/>
              <w:jc w:val="center"/>
              <w:rPr>
                <w:rFonts w:hint="eastAsia" w:ascii="宋体" w:hAnsi="宋体" w:eastAsia="宋体" w:cs="宋体"/>
                <w:color w:val="auto"/>
                <w:sz w:val="24"/>
                <w:lang w:eastAsia="zh-CN"/>
              </w:rPr>
            </w:pPr>
            <w:r>
              <w:rPr>
                <w:rFonts w:hint="eastAsia" w:ascii="宋体" w:hAnsi="宋体" w:cs="宋体"/>
                <w:color w:val="auto"/>
                <w:kern w:val="0"/>
                <w:sz w:val="24"/>
                <w:lang w:eastAsia="zh-CN" w:bidi="ar"/>
              </w:rPr>
              <w:t>年</w:t>
            </w:r>
          </w:p>
        </w:tc>
        <w:tc>
          <w:tcPr>
            <w:tcW w:w="100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80569D">
            <w:pPr>
              <w:widowControl/>
              <w:wordWrap w:val="0"/>
              <w:jc w:val="center"/>
              <w:rPr>
                <w:rFonts w:hint="eastAsia" w:ascii="宋体" w:hAnsi="宋体" w:cs="宋体"/>
                <w:color w:val="auto"/>
                <w:sz w:val="24"/>
              </w:rPr>
            </w:pPr>
            <w:r>
              <w:rPr>
                <w:rFonts w:hint="eastAsia" w:ascii="宋体" w:hAnsi="宋体" w:cs="宋体"/>
                <w:color w:val="auto"/>
                <w:kern w:val="0"/>
                <w:sz w:val="24"/>
                <w:lang w:bidi="ar"/>
              </w:rPr>
              <w:t>{供应商响应} 元</w:t>
            </w:r>
          </w:p>
        </w:tc>
      </w:tr>
      <w:tr w14:paraId="6C6DA622">
        <w:tblPrEx>
          <w:tblCellMar>
            <w:top w:w="0" w:type="dxa"/>
            <w:left w:w="0" w:type="dxa"/>
            <w:bottom w:w="0" w:type="dxa"/>
            <w:right w:w="0" w:type="dxa"/>
          </w:tblCellMar>
        </w:tblPrEx>
        <w:tc>
          <w:tcPr>
            <w:tcW w:w="52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B884A6">
            <w:pPr>
              <w:widowControl/>
              <w:wordWrap w:val="0"/>
              <w:jc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2</w:t>
            </w:r>
          </w:p>
        </w:tc>
        <w:tc>
          <w:tcPr>
            <w:tcW w:w="141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487010">
            <w:pPr>
              <w:pStyle w:val="12"/>
              <w:keepNext w:val="0"/>
              <w:keepLines w:val="0"/>
              <w:pageBreakBefore w:val="0"/>
              <w:widowControl/>
              <w:suppressLineNumbers w:val="0"/>
              <w:kinsoku/>
              <w:overflowPunct/>
              <w:topLinePunct w:val="0"/>
              <w:autoSpaceDE/>
              <w:autoSpaceDN/>
              <w:bidi w:val="0"/>
              <w:spacing w:beforeAutospacing="0" w:afterAutospacing="0" w:line="360" w:lineRule="atLeast"/>
              <w:ind w:left="0" w:leftChars="0" w:firstLine="0" w:firstLineChars="0"/>
              <w:jc w:val="both"/>
              <w:textAlignment w:val="auto"/>
              <w:rPr>
                <w:rFonts w:hint="eastAsia" w:ascii="宋体" w:hAnsi="宋体" w:cs="宋体"/>
                <w:color w:val="auto"/>
                <w:kern w:val="0"/>
                <w:sz w:val="24"/>
                <w:shd w:val="clear" w:color="auto" w:fill="FFFFFF"/>
                <w:lang w:eastAsia="zh-CN" w:bidi="ar"/>
              </w:rPr>
            </w:pPr>
            <w:r>
              <w:rPr>
                <w:rFonts w:hint="eastAsia" w:ascii="宋体" w:hAnsi="宋体" w:eastAsia="宋体" w:cs="宋体"/>
                <w:color w:val="auto"/>
                <w:sz w:val="24"/>
                <w:szCs w:val="24"/>
              </w:rPr>
              <w:t>环南台岛滨江休闲路解放大桥至花海公园段绿化</w:t>
            </w:r>
            <w:r>
              <w:rPr>
                <w:rFonts w:hint="eastAsia" w:ascii="宋体" w:hAnsi="宋体" w:eastAsia="宋体" w:cs="宋体"/>
                <w:color w:val="auto"/>
                <w:sz w:val="24"/>
                <w:szCs w:val="24"/>
                <w:lang w:val="en-US" w:eastAsia="zh-CN"/>
              </w:rPr>
              <w:t>养护服务</w:t>
            </w:r>
            <w:r>
              <w:rPr>
                <w:rFonts w:hint="eastAsia" w:ascii="宋体" w:hAnsi="宋体" w:eastAsia="宋体" w:cs="宋体"/>
                <w:color w:val="auto"/>
                <w:sz w:val="24"/>
                <w:szCs w:val="24"/>
              </w:rPr>
              <w:t>项目</w:t>
            </w:r>
          </w:p>
        </w:tc>
        <w:tc>
          <w:tcPr>
            <w:tcW w:w="81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E719C7E">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{供应商响应}</w:t>
            </w:r>
          </w:p>
        </w:tc>
        <w:tc>
          <w:tcPr>
            <w:tcW w:w="81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E1C7F">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{供应商响应}</w:t>
            </w:r>
          </w:p>
        </w:tc>
        <w:tc>
          <w:tcPr>
            <w:tcW w:w="81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423E0F">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{供应商响应}</w:t>
            </w:r>
          </w:p>
        </w:tc>
        <w:tc>
          <w:tcPr>
            <w:tcW w:w="8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F9681D">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{供应商响应}</w:t>
            </w:r>
          </w:p>
        </w:tc>
        <w:tc>
          <w:tcPr>
            <w:tcW w:w="12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2AA46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default" w:ascii="宋体" w:hAnsi="宋体" w:cs="宋体"/>
                <w:color w:val="auto"/>
                <w:kern w:val="0"/>
                <w:sz w:val="24"/>
                <w:lang w:val="en-US" w:bidi="ar"/>
              </w:rPr>
            </w:pPr>
            <w:r>
              <w:rPr>
                <w:rFonts w:hint="eastAsia" w:asciiTheme="minorEastAsia" w:hAnsiTheme="minorEastAsia" w:eastAsiaTheme="minorEastAsia" w:cstheme="minorEastAsia"/>
                <w:color w:val="auto"/>
                <w:kern w:val="0"/>
                <w:sz w:val="24"/>
                <w:szCs w:val="24"/>
                <w:highlight w:val="none"/>
                <w:lang w:val="en-US" w:eastAsia="zh-CN" w:bidi="ar"/>
              </w:rPr>
              <w:t>270000</w:t>
            </w:r>
          </w:p>
        </w:tc>
        <w:tc>
          <w:tcPr>
            <w:tcW w:w="71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7895B13">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{=总价/数量}元</w:t>
            </w:r>
          </w:p>
        </w:tc>
        <w:tc>
          <w:tcPr>
            <w:tcW w:w="64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F82CBE6">
            <w:pPr>
              <w:widowControl/>
              <w:wordWrap w:val="0"/>
              <w:jc w:val="center"/>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.0000</w:t>
            </w:r>
          </w:p>
        </w:tc>
        <w:tc>
          <w:tcPr>
            <w:tcW w:w="82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35B185">
            <w:pPr>
              <w:widowControl/>
              <w:wordWrap w:val="0"/>
              <w:jc w:val="center"/>
              <w:rPr>
                <w:rFonts w:hint="eastAsia" w:ascii="宋体" w:hAnsi="宋体" w:cs="宋体"/>
                <w:color w:val="auto"/>
                <w:kern w:val="0"/>
                <w:sz w:val="24"/>
                <w:lang w:eastAsia="zh-CN" w:bidi="ar"/>
              </w:rPr>
            </w:pPr>
            <w:r>
              <w:rPr>
                <w:rFonts w:hint="eastAsia" w:ascii="宋体" w:hAnsi="宋体" w:cs="宋体"/>
                <w:color w:val="auto"/>
                <w:kern w:val="0"/>
                <w:sz w:val="24"/>
                <w:lang w:eastAsia="zh-CN" w:bidi="ar"/>
              </w:rPr>
              <w:t>年</w:t>
            </w:r>
          </w:p>
        </w:tc>
        <w:tc>
          <w:tcPr>
            <w:tcW w:w="100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E08EFB">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{供应商响应} 元</w:t>
            </w:r>
          </w:p>
        </w:tc>
      </w:tr>
    </w:tbl>
    <w:p w14:paraId="676AD3C7">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合计：</w:t>
      </w:r>
    </w:p>
    <w:p w14:paraId="28191E82">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备注：无</w:t>
      </w:r>
    </w:p>
    <w:p w14:paraId="27ACAA99">
      <w:pPr>
        <w:widowControl/>
        <w:shd w:val="clear" w:color="auto" w:fill="FFFFFF"/>
        <w:jc w:val="left"/>
        <w:rPr>
          <w:rFonts w:hint="eastAsia" w:ascii="宋体" w:hAnsi="宋体" w:cs="宋体"/>
          <w:color w:val="auto"/>
          <w:sz w:val="24"/>
        </w:rPr>
      </w:pPr>
      <w:r>
        <w:rPr>
          <w:rFonts w:hint="eastAsia" w:ascii="宋体" w:hAnsi="宋体" w:cs="宋体"/>
          <w:color w:val="auto"/>
          <w:kern w:val="0"/>
          <w:sz w:val="24"/>
          <w:shd w:val="clear" w:color="auto" w:fill="FFFFFF"/>
          <w:lang w:bidi="ar"/>
        </w:rPr>
        <w:t>时间：     年     月     日</w:t>
      </w:r>
    </w:p>
    <w:p w14:paraId="6BF4F45E">
      <w:pPr>
        <w:pStyle w:val="20"/>
        <w:spacing w:line="360" w:lineRule="exact"/>
        <w:outlineLvl w:val="2"/>
        <w:rPr>
          <w:rFonts w:ascii="宋体" w:hAnsi="宋体" w:eastAsia="宋体" w:cs="宋体"/>
          <w:b/>
          <w:color w:val="auto"/>
          <w:sz w:val="24"/>
          <w:szCs w:val="24"/>
        </w:rPr>
        <w:sectPr>
          <w:type w:val="continuous"/>
          <w:pgSz w:w="11906" w:h="16838"/>
          <w:pgMar w:top="1240" w:right="1066" w:bottom="1440" w:left="1380" w:header="851" w:footer="992" w:gutter="0"/>
          <w:cols w:space="425" w:num="1"/>
          <w:docGrid w:type="lines" w:linePitch="312" w:charSpace="0"/>
        </w:sectPr>
      </w:pPr>
      <w:r>
        <w:rPr>
          <w:rFonts w:ascii="宋体" w:hAnsi="宋体" w:eastAsia="宋体" w:cs="宋体"/>
          <w:color w:val="auto"/>
          <w:sz w:val="24"/>
          <w:szCs w:val="24"/>
          <w:shd w:val="clear" w:color="auto" w:fill="FFFFFF"/>
          <w:lang w:eastAsia="zh-CN" w:bidi="ar"/>
        </w:rPr>
        <w:t>签章：</w:t>
      </w:r>
    </w:p>
    <w:p w14:paraId="5E764CB1">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三、招标文件规定的价格扣除证明材料（若有）</w:t>
      </w:r>
    </w:p>
    <w:p w14:paraId="31A0CD8E">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三-1优先类节能产品、环境标志产品价格扣除证明材料（若有）</w:t>
      </w:r>
    </w:p>
    <w:p w14:paraId="2CE56EF2">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三-1-①优先类节能产品、环境标志产品统计表（价格扣除适用，若有）</w:t>
      </w:r>
    </w:p>
    <w:p w14:paraId="59A4CCE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7"/>
        <w:gridCol w:w="1438"/>
        <w:gridCol w:w="1438"/>
        <w:gridCol w:w="5767"/>
      </w:tblGrid>
      <w:tr w14:paraId="08811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097D9763">
            <w:pPr>
              <w:spacing w:line="360" w:lineRule="exact"/>
              <w:rPr>
                <w:rFonts w:hint="eastAsia" w:ascii="宋体" w:hAnsi="宋体" w:cs="宋体"/>
                <w:color w:val="auto"/>
                <w:sz w:val="24"/>
              </w:rPr>
            </w:pPr>
          </w:p>
        </w:tc>
        <w:tc>
          <w:tcPr>
            <w:tcW w:w="4286" w:type="pct"/>
            <w:gridSpan w:val="3"/>
          </w:tcPr>
          <w:p w14:paraId="63BC2FE1">
            <w:pPr>
              <w:pStyle w:val="20"/>
              <w:spacing w:line="360" w:lineRule="exact"/>
              <w:jc w:val="center"/>
              <w:rPr>
                <w:rFonts w:ascii="宋体" w:hAnsi="宋体" w:eastAsia="宋体" w:cs="宋体"/>
                <w:color w:val="auto"/>
                <w:sz w:val="24"/>
                <w:szCs w:val="24"/>
              </w:rPr>
            </w:pPr>
            <w:r>
              <w:rPr>
                <w:rFonts w:ascii="宋体" w:hAnsi="宋体" w:eastAsia="宋体" w:cs="宋体"/>
                <w:color w:val="auto"/>
                <w:sz w:val="24"/>
                <w:szCs w:val="24"/>
              </w:rPr>
              <w:t>本采购包内属于节能、环境标志产品情况</w:t>
            </w:r>
          </w:p>
        </w:tc>
      </w:tr>
      <w:tr w14:paraId="0030A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38609502">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采购包</w:t>
            </w:r>
          </w:p>
        </w:tc>
        <w:tc>
          <w:tcPr>
            <w:tcW w:w="713" w:type="pct"/>
          </w:tcPr>
          <w:p w14:paraId="73A6074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品目号</w:t>
            </w:r>
          </w:p>
        </w:tc>
        <w:tc>
          <w:tcPr>
            <w:tcW w:w="713" w:type="pct"/>
          </w:tcPr>
          <w:p w14:paraId="526B7E6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产品名称</w:t>
            </w:r>
          </w:p>
        </w:tc>
        <w:tc>
          <w:tcPr>
            <w:tcW w:w="2859" w:type="pct"/>
          </w:tcPr>
          <w:p w14:paraId="42261B0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认证种类</w:t>
            </w:r>
          </w:p>
        </w:tc>
      </w:tr>
      <w:tr w14:paraId="4C8FA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7B5117E8">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713" w:type="pct"/>
          </w:tcPr>
          <w:p w14:paraId="6EEBF61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*-1</w:t>
            </w:r>
          </w:p>
        </w:tc>
        <w:tc>
          <w:tcPr>
            <w:tcW w:w="713" w:type="pct"/>
          </w:tcPr>
          <w:p w14:paraId="5691ADA4">
            <w:pPr>
              <w:spacing w:line="360" w:lineRule="exact"/>
              <w:rPr>
                <w:rFonts w:hint="eastAsia" w:ascii="宋体" w:hAnsi="宋体" w:cs="宋体"/>
                <w:color w:val="auto"/>
                <w:sz w:val="24"/>
              </w:rPr>
            </w:pPr>
          </w:p>
        </w:tc>
        <w:tc>
          <w:tcPr>
            <w:tcW w:w="2859" w:type="pct"/>
          </w:tcPr>
          <w:p w14:paraId="1B7ED2F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供应商自行填写种类，并上传证明附件以便评审查看</w:t>
            </w:r>
          </w:p>
        </w:tc>
      </w:tr>
      <w:tr w14:paraId="0D32D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00649EAE">
            <w:pPr>
              <w:spacing w:line="360" w:lineRule="exact"/>
              <w:rPr>
                <w:rFonts w:hint="eastAsia" w:ascii="宋体" w:hAnsi="宋体" w:cs="宋体"/>
                <w:color w:val="auto"/>
                <w:sz w:val="24"/>
              </w:rPr>
            </w:pPr>
          </w:p>
        </w:tc>
        <w:tc>
          <w:tcPr>
            <w:tcW w:w="713" w:type="pct"/>
          </w:tcPr>
          <w:p w14:paraId="5E1E1DB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p w14:paraId="3A7EC998">
            <w:pPr>
              <w:pStyle w:val="20"/>
              <w:spacing w:line="360" w:lineRule="exact"/>
              <w:rPr>
                <w:rFonts w:ascii="宋体" w:hAnsi="宋体" w:eastAsia="宋体" w:cs="宋体"/>
                <w:color w:val="auto"/>
                <w:sz w:val="24"/>
                <w:szCs w:val="24"/>
              </w:rPr>
            </w:pPr>
          </w:p>
        </w:tc>
        <w:tc>
          <w:tcPr>
            <w:tcW w:w="713" w:type="pct"/>
          </w:tcPr>
          <w:p w14:paraId="738F5CCB">
            <w:pPr>
              <w:spacing w:line="360" w:lineRule="exact"/>
              <w:rPr>
                <w:rFonts w:hint="eastAsia" w:ascii="宋体" w:hAnsi="宋体" w:cs="宋体"/>
                <w:color w:val="auto"/>
                <w:sz w:val="24"/>
              </w:rPr>
            </w:pPr>
          </w:p>
        </w:tc>
        <w:tc>
          <w:tcPr>
            <w:tcW w:w="2859" w:type="pct"/>
          </w:tcPr>
          <w:p w14:paraId="2EF87A2C">
            <w:pPr>
              <w:spacing w:line="360" w:lineRule="exact"/>
              <w:rPr>
                <w:rFonts w:hint="eastAsia" w:ascii="宋体" w:hAnsi="宋体" w:cs="宋体"/>
                <w:color w:val="auto"/>
                <w:sz w:val="24"/>
              </w:rPr>
            </w:pPr>
          </w:p>
        </w:tc>
      </w:tr>
      <w:tr w14:paraId="132A2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58EA1CB2">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备注</w:t>
            </w:r>
          </w:p>
        </w:tc>
        <w:tc>
          <w:tcPr>
            <w:tcW w:w="4286" w:type="pct"/>
            <w:gridSpan w:val="3"/>
          </w:tcPr>
          <w:p w14:paraId="328A40D4">
            <w:pPr>
              <w:pStyle w:val="20"/>
              <w:spacing w:line="360" w:lineRule="exact"/>
              <w:rPr>
                <w:rFonts w:ascii="宋体" w:hAnsi="宋体" w:eastAsia="宋体" w:cs="宋体"/>
                <w:color w:val="auto"/>
                <w:sz w:val="24"/>
                <w:szCs w:val="24"/>
              </w:rPr>
            </w:pPr>
          </w:p>
        </w:tc>
      </w:tr>
    </w:tbl>
    <w:p w14:paraId="47133C50">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※注意：</w:t>
      </w:r>
    </w:p>
    <w:p w14:paraId="3AC8AE1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1、对节能、环境标志产品计算价格扣除时，只依据电子投标（响应）文件“投标（响应）报价明细表”以及“优先类节能产品、环境标志产品证明材料（价格扣除适用，若有）。</w:t>
      </w:r>
    </w:p>
    <w:p w14:paraId="0C06963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2、本表以采购包为单位，不同采购包请分别填写；同一采购包请按照其品目号顺序分别填写。</w:t>
      </w:r>
    </w:p>
    <w:p w14:paraId="689849E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3、具体统计、计算：</w:t>
      </w:r>
    </w:p>
    <w:p w14:paraId="2E269A6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3.1若同一采购包内的单个或多个货物取得或同时取得节能、环境标志产品等两项或多项认证的，均按照单个货物对应一项认证的原则统计、计算1次。</w:t>
      </w:r>
    </w:p>
    <w:p w14:paraId="79E4D48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3.2计算结果若除不尽，可四舍五入保留到小数点后两位。</w:t>
      </w:r>
    </w:p>
    <w:p w14:paraId="5718727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3.3投标人(供应商)按照采购文件要求认真统计、计算。</w:t>
      </w:r>
    </w:p>
    <w:p w14:paraId="5249A25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3.4若无节能、环境标志产品，不填写本表。</w:t>
      </w:r>
    </w:p>
    <w:p w14:paraId="21B5FD7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3.5强制类节能产品不享受价格扣除。</w:t>
      </w:r>
    </w:p>
    <w:p w14:paraId="243A5E09">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E4372C6">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01F4980">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1670E4C5">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三-1-②优先类节能产品、环境标志产品证明材料（价格扣除适用，若有）</w:t>
      </w:r>
    </w:p>
    <w:p w14:paraId="69F52842">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三-2小型、微型企业产品等价格扣除证明材料（若有）</w:t>
      </w:r>
    </w:p>
    <w:p w14:paraId="28667C20">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三-2-①中小企业声明函（价格扣除适用，若有）</w:t>
      </w:r>
    </w:p>
    <w:p w14:paraId="0D5DB3C7">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中小企业声明函（货物）</w:t>
      </w:r>
    </w:p>
    <w:p w14:paraId="4349A9C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 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42CF00E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u w:val="single"/>
        </w:rPr>
        <w:t xml:space="preserve"> （标的名称） </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行业；制造商为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w:t>
      </w:r>
      <w:r>
        <w:rPr>
          <w:rFonts w:ascii="宋体" w:hAnsi="宋体" w:eastAsia="宋体" w:cs="宋体"/>
          <w:color w:val="auto"/>
          <w:sz w:val="24"/>
          <w:szCs w:val="24"/>
          <w:vertAlign w:val="superscript"/>
        </w:rPr>
        <w:t>1</w:t>
      </w:r>
      <w:r>
        <w:rPr>
          <w:rFonts w:ascii="宋体" w:hAnsi="宋体" w:eastAsia="宋体" w:cs="宋体"/>
          <w:color w:val="auto"/>
          <w:sz w:val="24"/>
          <w:szCs w:val="24"/>
        </w:rPr>
        <w:t>，属于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7510ADC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u w:val="single"/>
        </w:rPr>
        <w:t xml:space="preserve"> （标的名称） </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行业；制造商为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612CCB1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4A726D5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73F99E3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本企业对上述声明内容的真实性负责。如有虚假，将依法承担相应责任。</w:t>
      </w:r>
    </w:p>
    <w:p w14:paraId="39F2DABB">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0BE38D6B">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658F2E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3808ABA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1、从业人员、营业收入、资产总额填报上一年度数据，无上一年度数据的新成立企业可不填报。</w:t>
      </w:r>
    </w:p>
    <w:p w14:paraId="21F95A9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D64E5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2CE32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4F70D34D">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中小企业声明函（工程、服务）</w:t>
      </w:r>
    </w:p>
    <w:p w14:paraId="5FF3E7B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 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EECA43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w:t>
      </w:r>
      <w:r>
        <w:rPr>
          <w:rFonts w:ascii="宋体" w:hAnsi="宋体" w:eastAsia="宋体" w:cs="宋体"/>
          <w:color w:val="auto"/>
          <w:sz w:val="24"/>
          <w:szCs w:val="24"/>
          <w:vertAlign w:val="superscript"/>
        </w:rPr>
        <w:t>1</w:t>
      </w:r>
      <w:r>
        <w:rPr>
          <w:rFonts w:ascii="宋体" w:hAnsi="宋体" w:eastAsia="宋体" w:cs="宋体"/>
          <w:color w:val="auto"/>
          <w:sz w:val="24"/>
          <w:szCs w:val="24"/>
        </w:rPr>
        <w:t>，属于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3DA37DC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553FD07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w:t>
      </w:r>
    </w:p>
    <w:p w14:paraId="2BC1393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20D7737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本企业对上述声明内容的真实性负责。如有虚假，将依法承担相应责任。</w:t>
      </w:r>
    </w:p>
    <w:p w14:paraId="00DC5389">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63FABEC4">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85F913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0E0E18F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1、从业人员、营业收入、资产总额填报上一年度数据，无上一年度数据的新成立企业可不填报。</w:t>
      </w:r>
    </w:p>
    <w:p w14:paraId="3599AD4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861C5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C6EC22">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44EC9FFE">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三-2-②小型、微型企业等证明材料（价格扣除适用，若有）</w:t>
      </w:r>
    </w:p>
    <w:p w14:paraId="6911BD46">
      <w:pPr>
        <w:pStyle w:val="20"/>
        <w:spacing w:line="360" w:lineRule="exact"/>
        <w:ind w:firstLine="480"/>
        <w:jc w:val="center"/>
        <w:rPr>
          <w:rFonts w:ascii="宋体" w:hAnsi="宋体" w:eastAsia="宋体" w:cs="宋体"/>
          <w:color w:val="auto"/>
          <w:sz w:val="24"/>
          <w:szCs w:val="24"/>
        </w:rPr>
      </w:pPr>
      <w:r>
        <w:rPr>
          <w:rFonts w:ascii="宋体" w:hAnsi="宋体" w:eastAsia="宋体" w:cs="宋体"/>
          <w:color w:val="auto"/>
          <w:sz w:val="24"/>
          <w:szCs w:val="24"/>
        </w:rPr>
        <w:t>编制说明</w:t>
      </w:r>
    </w:p>
    <w:p w14:paraId="20E90B7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1、投标人为监狱企业的，根据其提供的由省级以上监狱管理局、戒毒管理局（含新疆生产建设兵团）出具的属于监狱企业的证明文件进行认定，监狱企业视同小型、微型企业。</w:t>
      </w:r>
    </w:p>
    <w:p w14:paraId="39C0E31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70DFB1F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附：</w:t>
      </w:r>
    </w:p>
    <w:p w14:paraId="7DAFCE01">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残疾人福利性单位声明函（价格扣除适用，若有）</w:t>
      </w:r>
    </w:p>
    <w:p w14:paraId="3F52765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D7F5C0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6C3230">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）由本投标人承建的（填写“所投采购包、品目号”）工程</w:t>
      </w:r>
    </w:p>
    <w:p w14:paraId="79C1FD5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 ）由本投标人承接的（填写“所投采购包、品目号”）服务；</w:t>
      </w:r>
    </w:p>
    <w:p w14:paraId="2233347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本投标人对上述声明的真实性负责。如有虚假，将依法承担相应责任。</w:t>
      </w:r>
    </w:p>
    <w:p w14:paraId="1FD830E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备注：</w:t>
      </w:r>
    </w:p>
    <w:p w14:paraId="0CFB054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1、请投标人按照实际情况编制填写本声明函，并在相应的（）中打“√”。</w:t>
      </w:r>
    </w:p>
    <w:p w14:paraId="4891743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2、若《残疾人福利性单位声明函》内容不真实，视为提供虚假材料。</w:t>
      </w:r>
    </w:p>
    <w:p w14:paraId="1A254ECD">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64FB9BA2">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905DA9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160552B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附：</w:t>
      </w:r>
    </w:p>
    <w:p w14:paraId="699DD805">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监狱企业证明材料</w:t>
      </w:r>
    </w:p>
    <w:p w14:paraId="59B83A8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4F225DA9">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0D46E692">
      <w:pPr>
        <w:pStyle w:val="20"/>
        <w:spacing w:line="360" w:lineRule="exact"/>
        <w:jc w:val="center"/>
        <w:outlineLvl w:val="3"/>
        <w:rPr>
          <w:rFonts w:ascii="宋体" w:hAnsi="宋体" w:eastAsia="宋体" w:cs="宋体"/>
          <w:color w:val="auto"/>
          <w:sz w:val="24"/>
          <w:szCs w:val="24"/>
        </w:rPr>
      </w:pPr>
      <w:r>
        <w:rPr>
          <w:rFonts w:ascii="宋体" w:hAnsi="宋体" w:eastAsia="宋体" w:cs="宋体"/>
          <w:b/>
          <w:color w:val="auto"/>
          <w:sz w:val="24"/>
          <w:szCs w:val="24"/>
        </w:rPr>
        <w:t>三-3招标文件规定的其他价格扣除证明材料（若有）</w:t>
      </w:r>
    </w:p>
    <w:p w14:paraId="2E89D33F">
      <w:pPr>
        <w:pStyle w:val="20"/>
        <w:spacing w:line="360" w:lineRule="exact"/>
        <w:ind w:firstLine="480"/>
        <w:jc w:val="center"/>
        <w:rPr>
          <w:rFonts w:ascii="宋体" w:hAnsi="宋体" w:eastAsia="宋体" w:cs="宋体"/>
          <w:color w:val="auto"/>
          <w:sz w:val="24"/>
          <w:szCs w:val="24"/>
        </w:rPr>
      </w:pPr>
      <w:r>
        <w:rPr>
          <w:rFonts w:ascii="宋体" w:hAnsi="宋体" w:eastAsia="宋体" w:cs="宋体"/>
          <w:color w:val="auto"/>
          <w:sz w:val="24"/>
          <w:szCs w:val="24"/>
        </w:rPr>
        <w:t>编制说明</w:t>
      </w:r>
    </w:p>
    <w:p w14:paraId="4BA4F1E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2453E08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1AF7790C">
      <w:pPr>
        <w:pStyle w:val="20"/>
        <w:spacing w:line="360" w:lineRule="exact"/>
        <w:jc w:val="center"/>
        <w:outlineLvl w:val="2"/>
        <w:rPr>
          <w:rFonts w:ascii="宋体" w:hAnsi="宋体" w:eastAsia="宋体" w:cs="宋体"/>
          <w:b/>
          <w:color w:val="auto"/>
          <w:sz w:val="28"/>
          <w:szCs w:val="28"/>
        </w:rPr>
      </w:pPr>
    </w:p>
    <w:p w14:paraId="578DCC37">
      <w:pPr>
        <w:pStyle w:val="20"/>
        <w:spacing w:line="360" w:lineRule="exact"/>
        <w:jc w:val="center"/>
        <w:outlineLvl w:val="2"/>
        <w:rPr>
          <w:rFonts w:ascii="宋体" w:hAnsi="宋体" w:eastAsia="宋体" w:cs="宋体"/>
          <w:b/>
          <w:color w:val="auto"/>
          <w:sz w:val="28"/>
          <w:szCs w:val="28"/>
        </w:rPr>
      </w:pPr>
    </w:p>
    <w:p w14:paraId="415ED223">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8"/>
          <w:szCs w:val="28"/>
        </w:rPr>
        <w:t>封面格式(技术商务部分)</w:t>
      </w:r>
    </w:p>
    <w:p w14:paraId="5E111B89">
      <w:pPr>
        <w:pStyle w:val="20"/>
        <w:spacing w:line="360" w:lineRule="atLeast"/>
        <w:jc w:val="center"/>
        <w:outlineLvl w:val="0"/>
        <w:rPr>
          <w:rFonts w:ascii="宋体" w:hAnsi="宋体" w:eastAsia="宋体" w:cs="宋体"/>
          <w:b/>
          <w:color w:val="auto"/>
          <w:sz w:val="72"/>
          <w:szCs w:val="72"/>
        </w:rPr>
      </w:pPr>
      <w:r>
        <w:rPr>
          <w:rFonts w:ascii="宋体" w:hAnsi="宋体" w:eastAsia="宋体" w:cs="宋体"/>
          <w:b/>
          <w:color w:val="auto"/>
          <w:sz w:val="72"/>
          <w:szCs w:val="72"/>
        </w:rPr>
        <w:t>福建省政府采购投标文件</w:t>
      </w:r>
    </w:p>
    <w:p w14:paraId="77B3860E">
      <w:pPr>
        <w:pStyle w:val="20"/>
        <w:spacing w:line="360" w:lineRule="atLeast"/>
        <w:jc w:val="center"/>
        <w:outlineLvl w:val="0"/>
        <w:rPr>
          <w:rFonts w:ascii="宋体" w:hAnsi="宋体" w:eastAsia="宋体" w:cs="宋体"/>
          <w:color w:val="auto"/>
          <w:sz w:val="24"/>
          <w:szCs w:val="24"/>
        </w:rPr>
      </w:pPr>
      <w:r>
        <w:rPr>
          <w:rFonts w:ascii="宋体" w:hAnsi="宋体" w:eastAsia="宋体" w:cs="宋体"/>
          <w:b/>
          <w:color w:val="auto"/>
          <w:sz w:val="72"/>
          <w:szCs w:val="72"/>
        </w:rPr>
        <w:t>（技术商务部分）</w:t>
      </w:r>
      <w:r>
        <w:rPr>
          <w:rFonts w:ascii="宋体" w:hAnsi="宋体" w:eastAsia="宋体" w:cs="宋体"/>
          <w:color w:val="auto"/>
          <w:sz w:val="24"/>
          <w:szCs w:val="24"/>
        </w:rPr>
        <w:br w:type="textWrapping"/>
      </w:r>
      <w:r>
        <w:rPr>
          <w:rFonts w:ascii="宋体" w:hAnsi="宋体" w:eastAsia="宋体" w:cs="宋体"/>
          <w:color w:val="auto"/>
          <w:sz w:val="24"/>
          <w:szCs w:val="24"/>
        </w:rPr>
        <w:br w:type="textWrapping"/>
      </w:r>
      <w:r>
        <w:rPr>
          <w:rFonts w:ascii="宋体" w:hAnsi="宋体" w:eastAsia="宋体" w:cs="宋体"/>
          <w:color w:val="auto"/>
          <w:sz w:val="24"/>
          <w:szCs w:val="24"/>
        </w:rPr>
        <w:br w:type="textWrapping"/>
      </w:r>
    </w:p>
    <w:p w14:paraId="7F6C2291">
      <w:pPr>
        <w:pStyle w:val="20"/>
        <w:spacing w:line="360" w:lineRule="exact"/>
        <w:jc w:val="center"/>
        <w:outlineLvl w:val="1"/>
        <w:rPr>
          <w:rFonts w:ascii="宋体" w:hAnsi="宋体" w:eastAsia="宋体" w:cs="宋体"/>
          <w:b/>
          <w:color w:val="auto"/>
          <w:sz w:val="28"/>
          <w:szCs w:val="28"/>
        </w:rPr>
      </w:pPr>
    </w:p>
    <w:p w14:paraId="6A4C8A30">
      <w:pPr>
        <w:pStyle w:val="20"/>
        <w:spacing w:line="360" w:lineRule="exact"/>
        <w:jc w:val="center"/>
        <w:outlineLvl w:val="1"/>
        <w:rPr>
          <w:rFonts w:ascii="宋体" w:hAnsi="宋体" w:eastAsia="宋体" w:cs="宋体"/>
          <w:b/>
          <w:color w:val="auto"/>
          <w:sz w:val="28"/>
          <w:szCs w:val="28"/>
        </w:rPr>
      </w:pPr>
    </w:p>
    <w:p w14:paraId="78AF3116">
      <w:pPr>
        <w:pStyle w:val="20"/>
        <w:spacing w:line="360" w:lineRule="exact"/>
        <w:jc w:val="center"/>
        <w:outlineLvl w:val="1"/>
        <w:rPr>
          <w:rFonts w:ascii="宋体" w:hAnsi="宋体" w:eastAsia="宋体" w:cs="宋体"/>
          <w:b/>
          <w:color w:val="auto"/>
          <w:sz w:val="28"/>
          <w:szCs w:val="28"/>
        </w:rPr>
      </w:pPr>
    </w:p>
    <w:p w14:paraId="087AB35A">
      <w:pPr>
        <w:pStyle w:val="20"/>
        <w:spacing w:line="360" w:lineRule="exact"/>
        <w:jc w:val="center"/>
        <w:outlineLvl w:val="1"/>
        <w:rPr>
          <w:rFonts w:ascii="宋体" w:hAnsi="宋体" w:eastAsia="宋体" w:cs="宋体"/>
          <w:color w:val="auto"/>
          <w:sz w:val="28"/>
          <w:szCs w:val="28"/>
        </w:rPr>
      </w:pPr>
      <w:r>
        <w:rPr>
          <w:rFonts w:ascii="宋体" w:hAnsi="宋体" w:eastAsia="宋体" w:cs="宋体"/>
          <w:b/>
          <w:color w:val="auto"/>
          <w:sz w:val="28"/>
          <w:szCs w:val="28"/>
        </w:rPr>
        <w:t>（填写正本或副本）</w:t>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054829CB">
      <w:pPr>
        <w:pStyle w:val="20"/>
        <w:spacing w:line="360" w:lineRule="exact"/>
        <w:jc w:val="center"/>
        <w:outlineLvl w:val="1"/>
        <w:rPr>
          <w:rFonts w:ascii="宋体" w:hAnsi="宋体" w:eastAsia="宋体" w:cs="宋体"/>
          <w:color w:val="auto"/>
          <w:sz w:val="28"/>
          <w:szCs w:val="28"/>
        </w:rPr>
      </w:pPr>
    </w:p>
    <w:p w14:paraId="4EF92C15">
      <w:pPr>
        <w:pStyle w:val="20"/>
        <w:spacing w:line="360" w:lineRule="exact"/>
        <w:jc w:val="center"/>
        <w:outlineLvl w:val="1"/>
        <w:rPr>
          <w:rFonts w:ascii="宋体" w:hAnsi="宋体" w:eastAsia="宋体" w:cs="宋体"/>
          <w:color w:val="auto"/>
          <w:sz w:val="28"/>
          <w:szCs w:val="28"/>
        </w:rPr>
      </w:pPr>
    </w:p>
    <w:p w14:paraId="40C42B76">
      <w:pPr>
        <w:pStyle w:val="20"/>
        <w:spacing w:line="360" w:lineRule="exact"/>
        <w:jc w:val="center"/>
        <w:outlineLvl w:val="1"/>
        <w:rPr>
          <w:rFonts w:ascii="宋体" w:hAnsi="宋体" w:eastAsia="宋体" w:cs="宋体"/>
          <w:color w:val="auto"/>
          <w:sz w:val="28"/>
          <w:szCs w:val="28"/>
        </w:rPr>
      </w:pPr>
      <w:r>
        <w:rPr>
          <w:rFonts w:ascii="宋体" w:hAnsi="宋体" w:eastAsia="宋体" w:cs="宋体"/>
          <w:color w:val="auto"/>
          <w:sz w:val="28"/>
          <w:szCs w:val="28"/>
        </w:rPr>
        <w:br w:type="textWrapping"/>
      </w:r>
    </w:p>
    <w:p w14:paraId="6AE3B30A">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（项目名称：（由投标人填写）</w:t>
      </w:r>
    </w:p>
    <w:p w14:paraId="4631E415">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（备案编号：（由投标人填写）</w:t>
      </w:r>
    </w:p>
    <w:p w14:paraId="3F8CB150">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（项目编号：（由投标人填写）</w:t>
      </w:r>
    </w:p>
    <w:p w14:paraId="3222212C">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（所投采购包：（由投标人填写）</w:t>
      </w:r>
      <w:r>
        <w:rPr>
          <w:rFonts w:ascii="宋体" w:hAnsi="宋体" w:eastAsia="宋体" w:cs="宋体"/>
          <w:color w:val="auto"/>
          <w:sz w:val="28"/>
          <w:szCs w:val="28"/>
        </w:rPr>
        <w:br w:type="textWrapping"/>
      </w:r>
      <w:r>
        <w:rPr>
          <w:rFonts w:ascii="宋体" w:hAnsi="宋体" w:eastAsia="宋体" w:cs="宋体"/>
          <w:color w:val="auto"/>
          <w:sz w:val="28"/>
          <w:szCs w:val="28"/>
        </w:rPr>
        <w:br w:type="textWrapping"/>
      </w:r>
    </w:p>
    <w:p w14:paraId="1096DE57">
      <w:pPr>
        <w:pStyle w:val="20"/>
        <w:spacing w:line="360" w:lineRule="exact"/>
        <w:jc w:val="center"/>
        <w:outlineLvl w:val="2"/>
        <w:rPr>
          <w:rFonts w:ascii="宋体" w:hAnsi="宋体" w:eastAsia="宋体" w:cs="宋体"/>
          <w:color w:val="auto"/>
          <w:sz w:val="28"/>
          <w:szCs w:val="28"/>
        </w:rPr>
      </w:pPr>
    </w:p>
    <w:p w14:paraId="1AF6F8F1">
      <w:pPr>
        <w:pStyle w:val="20"/>
        <w:spacing w:line="360" w:lineRule="exact"/>
        <w:jc w:val="center"/>
        <w:outlineLvl w:val="2"/>
        <w:rPr>
          <w:rFonts w:ascii="宋体" w:hAnsi="宋体" w:eastAsia="宋体" w:cs="宋体"/>
          <w:color w:val="auto"/>
          <w:sz w:val="28"/>
          <w:szCs w:val="28"/>
        </w:rPr>
      </w:pPr>
    </w:p>
    <w:p w14:paraId="78589864">
      <w:pPr>
        <w:pStyle w:val="20"/>
        <w:spacing w:line="360" w:lineRule="exact"/>
        <w:jc w:val="center"/>
        <w:outlineLvl w:val="2"/>
        <w:rPr>
          <w:rFonts w:ascii="宋体" w:hAnsi="宋体" w:eastAsia="宋体" w:cs="宋体"/>
          <w:color w:val="auto"/>
          <w:sz w:val="28"/>
          <w:szCs w:val="28"/>
        </w:rPr>
      </w:pPr>
    </w:p>
    <w:p w14:paraId="5524AB45">
      <w:pPr>
        <w:pStyle w:val="20"/>
        <w:spacing w:line="360" w:lineRule="exact"/>
        <w:jc w:val="center"/>
        <w:outlineLvl w:val="2"/>
        <w:rPr>
          <w:rFonts w:ascii="宋体" w:hAnsi="宋体" w:eastAsia="宋体" w:cs="宋体"/>
          <w:color w:val="auto"/>
          <w:sz w:val="28"/>
          <w:szCs w:val="28"/>
        </w:rPr>
      </w:pPr>
    </w:p>
    <w:p w14:paraId="4749E68F">
      <w:pPr>
        <w:pStyle w:val="20"/>
        <w:spacing w:line="360" w:lineRule="exact"/>
        <w:jc w:val="center"/>
        <w:outlineLvl w:val="2"/>
        <w:rPr>
          <w:rFonts w:ascii="宋体" w:hAnsi="宋体" w:eastAsia="宋体" w:cs="宋体"/>
          <w:color w:val="auto"/>
          <w:sz w:val="28"/>
          <w:szCs w:val="28"/>
        </w:rPr>
      </w:pPr>
    </w:p>
    <w:p w14:paraId="7F9A91B2">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投标人：（填写“全称”）</w:t>
      </w:r>
    </w:p>
    <w:p w14:paraId="3767DD51">
      <w:pPr>
        <w:pStyle w:val="20"/>
        <w:spacing w:line="360" w:lineRule="exact"/>
        <w:jc w:val="center"/>
        <w:outlineLvl w:val="2"/>
        <w:rPr>
          <w:rFonts w:ascii="宋体" w:hAnsi="宋体" w:eastAsia="宋体" w:cs="宋体"/>
          <w:color w:val="auto"/>
          <w:sz w:val="28"/>
          <w:szCs w:val="28"/>
        </w:rPr>
      </w:pPr>
      <w:r>
        <w:rPr>
          <w:rFonts w:ascii="宋体" w:hAnsi="宋体" w:eastAsia="宋体" w:cs="宋体"/>
          <w:b/>
          <w:color w:val="auto"/>
          <w:sz w:val="28"/>
          <w:szCs w:val="28"/>
        </w:rPr>
        <w:t>（由投标人填写）年（由投标人填写）月</w:t>
      </w:r>
    </w:p>
    <w:p w14:paraId="11A62A9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A224CC7">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索引</w:t>
      </w:r>
    </w:p>
    <w:p w14:paraId="4B3B8FF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一、标的说明一览表</w:t>
      </w:r>
    </w:p>
    <w:p w14:paraId="2DC00FF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二、技术和服务要求响应表</w:t>
      </w:r>
    </w:p>
    <w:p w14:paraId="46DDF68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三、商务条件响应表</w:t>
      </w:r>
    </w:p>
    <w:p w14:paraId="7190329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四、投标人提交的其他资料（若有）</w:t>
      </w:r>
    </w:p>
    <w:p w14:paraId="3B1853C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0D65731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技术商务部分中不得出现报价部分的全部或部分的投标报价信息（或组成资料），否则符合性审查不合格。</w:t>
      </w:r>
    </w:p>
    <w:p w14:paraId="5FA96832">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7B401E80">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一、标的说明一览表</w:t>
      </w:r>
    </w:p>
    <w:p w14:paraId="4D5DEDBB">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8"/>
        <w:gridCol w:w="1438"/>
        <w:gridCol w:w="1440"/>
        <w:gridCol w:w="1440"/>
        <w:gridCol w:w="1440"/>
        <w:gridCol w:w="1441"/>
        <w:gridCol w:w="1441"/>
      </w:tblGrid>
      <w:tr w14:paraId="0D308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2C149DFB">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采购包</w:t>
            </w:r>
          </w:p>
        </w:tc>
        <w:tc>
          <w:tcPr>
            <w:tcW w:w="713" w:type="pct"/>
          </w:tcPr>
          <w:p w14:paraId="7901E484">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品目号</w:t>
            </w:r>
          </w:p>
        </w:tc>
        <w:tc>
          <w:tcPr>
            <w:tcW w:w="714" w:type="pct"/>
          </w:tcPr>
          <w:p w14:paraId="56D8AFC3">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投标标的</w:t>
            </w:r>
          </w:p>
        </w:tc>
        <w:tc>
          <w:tcPr>
            <w:tcW w:w="714" w:type="pct"/>
          </w:tcPr>
          <w:p w14:paraId="6BC6BE55">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数量</w:t>
            </w:r>
          </w:p>
        </w:tc>
        <w:tc>
          <w:tcPr>
            <w:tcW w:w="714" w:type="pct"/>
          </w:tcPr>
          <w:p w14:paraId="05FE2EAD">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规格</w:t>
            </w:r>
          </w:p>
        </w:tc>
        <w:tc>
          <w:tcPr>
            <w:tcW w:w="714" w:type="pct"/>
          </w:tcPr>
          <w:p w14:paraId="7ED96C67">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来源地</w:t>
            </w:r>
          </w:p>
        </w:tc>
        <w:tc>
          <w:tcPr>
            <w:tcW w:w="714" w:type="pct"/>
          </w:tcPr>
          <w:p w14:paraId="3911CC99">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备注</w:t>
            </w:r>
          </w:p>
        </w:tc>
      </w:tr>
      <w:tr w14:paraId="789A9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6312AF8C">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w:t>
            </w:r>
          </w:p>
        </w:tc>
        <w:tc>
          <w:tcPr>
            <w:tcW w:w="713" w:type="pct"/>
          </w:tcPr>
          <w:p w14:paraId="2019F535">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*-1</w:t>
            </w:r>
          </w:p>
        </w:tc>
        <w:tc>
          <w:tcPr>
            <w:tcW w:w="714" w:type="pct"/>
          </w:tcPr>
          <w:p w14:paraId="0808D46A">
            <w:pPr>
              <w:spacing w:line="360" w:lineRule="atLeast"/>
              <w:rPr>
                <w:rFonts w:hint="eastAsia" w:ascii="宋体" w:hAnsi="宋体" w:cs="宋体"/>
                <w:color w:val="auto"/>
                <w:sz w:val="24"/>
              </w:rPr>
            </w:pPr>
          </w:p>
        </w:tc>
        <w:tc>
          <w:tcPr>
            <w:tcW w:w="714" w:type="pct"/>
          </w:tcPr>
          <w:p w14:paraId="48129D91">
            <w:pPr>
              <w:spacing w:line="360" w:lineRule="atLeast"/>
              <w:rPr>
                <w:rFonts w:hint="eastAsia" w:ascii="宋体" w:hAnsi="宋体" w:cs="宋体"/>
                <w:color w:val="auto"/>
                <w:sz w:val="24"/>
              </w:rPr>
            </w:pPr>
          </w:p>
        </w:tc>
        <w:tc>
          <w:tcPr>
            <w:tcW w:w="714" w:type="pct"/>
          </w:tcPr>
          <w:p w14:paraId="02D5C2D9">
            <w:pPr>
              <w:spacing w:line="360" w:lineRule="atLeast"/>
              <w:rPr>
                <w:rFonts w:hint="eastAsia" w:ascii="宋体" w:hAnsi="宋体" w:cs="宋体"/>
                <w:color w:val="auto"/>
                <w:sz w:val="24"/>
              </w:rPr>
            </w:pPr>
          </w:p>
        </w:tc>
        <w:tc>
          <w:tcPr>
            <w:tcW w:w="714" w:type="pct"/>
          </w:tcPr>
          <w:p w14:paraId="04ADE5BD">
            <w:pPr>
              <w:spacing w:line="360" w:lineRule="atLeast"/>
              <w:rPr>
                <w:rFonts w:hint="eastAsia" w:ascii="宋体" w:hAnsi="宋体" w:cs="宋体"/>
                <w:color w:val="auto"/>
                <w:sz w:val="24"/>
              </w:rPr>
            </w:pPr>
          </w:p>
        </w:tc>
        <w:tc>
          <w:tcPr>
            <w:tcW w:w="714" w:type="pct"/>
          </w:tcPr>
          <w:p w14:paraId="109EE196">
            <w:pPr>
              <w:spacing w:line="360" w:lineRule="atLeast"/>
              <w:rPr>
                <w:rFonts w:hint="eastAsia" w:ascii="宋体" w:hAnsi="宋体" w:cs="宋体"/>
                <w:color w:val="auto"/>
                <w:sz w:val="24"/>
              </w:rPr>
            </w:pPr>
          </w:p>
        </w:tc>
      </w:tr>
      <w:tr w14:paraId="3E903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140BA76F">
            <w:pPr>
              <w:spacing w:line="360" w:lineRule="atLeast"/>
              <w:rPr>
                <w:rFonts w:hint="eastAsia" w:ascii="宋体" w:hAnsi="宋体" w:cs="宋体"/>
                <w:color w:val="auto"/>
                <w:sz w:val="24"/>
              </w:rPr>
            </w:pPr>
          </w:p>
        </w:tc>
        <w:tc>
          <w:tcPr>
            <w:tcW w:w="713" w:type="pct"/>
          </w:tcPr>
          <w:p w14:paraId="72BFA3A0">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w:t>
            </w:r>
          </w:p>
        </w:tc>
        <w:tc>
          <w:tcPr>
            <w:tcW w:w="714" w:type="pct"/>
          </w:tcPr>
          <w:p w14:paraId="3D479F4B">
            <w:pPr>
              <w:spacing w:line="360" w:lineRule="atLeast"/>
              <w:rPr>
                <w:rFonts w:hint="eastAsia" w:ascii="宋体" w:hAnsi="宋体" w:cs="宋体"/>
                <w:color w:val="auto"/>
                <w:sz w:val="24"/>
              </w:rPr>
            </w:pPr>
          </w:p>
        </w:tc>
        <w:tc>
          <w:tcPr>
            <w:tcW w:w="714" w:type="pct"/>
          </w:tcPr>
          <w:p w14:paraId="3B6D8E93">
            <w:pPr>
              <w:spacing w:line="360" w:lineRule="atLeast"/>
              <w:rPr>
                <w:rFonts w:hint="eastAsia" w:ascii="宋体" w:hAnsi="宋体" w:cs="宋体"/>
                <w:color w:val="auto"/>
                <w:sz w:val="24"/>
              </w:rPr>
            </w:pPr>
          </w:p>
        </w:tc>
        <w:tc>
          <w:tcPr>
            <w:tcW w:w="714" w:type="pct"/>
          </w:tcPr>
          <w:p w14:paraId="31D89050">
            <w:pPr>
              <w:spacing w:line="360" w:lineRule="atLeast"/>
              <w:rPr>
                <w:rFonts w:hint="eastAsia" w:ascii="宋体" w:hAnsi="宋体" w:cs="宋体"/>
                <w:color w:val="auto"/>
                <w:sz w:val="24"/>
              </w:rPr>
            </w:pPr>
          </w:p>
        </w:tc>
        <w:tc>
          <w:tcPr>
            <w:tcW w:w="714" w:type="pct"/>
          </w:tcPr>
          <w:p w14:paraId="250C9756">
            <w:pPr>
              <w:spacing w:line="360" w:lineRule="atLeast"/>
              <w:rPr>
                <w:rFonts w:hint="eastAsia" w:ascii="宋体" w:hAnsi="宋体" w:cs="宋体"/>
                <w:color w:val="auto"/>
                <w:sz w:val="24"/>
              </w:rPr>
            </w:pPr>
          </w:p>
        </w:tc>
        <w:tc>
          <w:tcPr>
            <w:tcW w:w="714" w:type="pct"/>
          </w:tcPr>
          <w:p w14:paraId="4494A232">
            <w:pPr>
              <w:spacing w:line="360" w:lineRule="atLeast"/>
              <w:rPr>
                <w:rFonts w:hint="eastAsia" w:ascii="宋体" w:hAnsi="宋体" w:cs="宋体"/>
                <w:color w:val="auto"/>
                <w:sz w:val="24"/>
              </w:rPr>
            </w:pPr>
          </w:p>
        </w:tc>
      </w:tr>
      <w:tr w14:paraId="2B47D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07BD607A">
            <w:pPr>
              <w:pStyle w:val="20"/>
              <w:spacing w:line="360" w:lineRule="atLeast"/>
              <w:rPr>
                <w:rFonts w:ascii="宋体" w:hAnsi="宋体" w:eastAsia="宋体" w:cs="宋体"/>
                <w:color w:val="auto"/>
                <w:sz w:val="24"/>
                <w:szCs w:val="24"/>
              </w:rPr>
            </w:pPr>
            <w:r>
              <w:rPr>
                <w:rFonts w:ascii="宋体" w:hAnsi="宋体" w:eastAsia="宋体" w:cs="宋体"/>
                <w:color w:val="auto"/>
                <w:sz w:val="24"/>
                <w:szCs w:val="24"/>
              </w:rPr>
              <w:t>…</w:t>
            </w:r>
          </w:p>
        </w:tc>
        <w:tc>
          <w:tcPr>
            <w:tcW w:w="713" w:type="pct"/>
          </w:tcPr>
          <w:p w14:paraId="715DE56C">
            <w:pPr>
              <w:spacing w:line="360" w:lineRule="atLeast"/>
              <w:rPr>
                <w:rFonts w:hint="eastAsia" w:ascii="宋体" w:hAnsi="宋体" w:cs="宋体"/>
                <w:color w:val="auto"/>
                <w:sz w:val="24"/>
              </w:rPr>
            </w:pPr>
          </w:p>
        </w:tc>
        <w:tc>
          <w:tcPr>
            <w:tcW w:w="714" w:type="pct"/>
          </w:tcPr>
          <w:p w14:paraId="241A0F4E">
            <w:pPr>
              <w:spacing w:line="360" w:lineRule="atLeast"/>
              <w:rPr>
                <w:rFonts w:hint="eastAsia" w:ascii="宋体" w:hAnsi="宋体" w:cs="宋体"/>
                <w:color w:val="auto"/>
                <w:sz w:val="24"/>
              </w:rPr>
            </w:pPr>
          </w:p>
        </w:tc>
        <w:tc>
          <w:tcPr>
            <w:tcW w:w="714" w:type="pct"/>
          </w:tcPr>
          <w:p w14:paraId="00233B0C">
            <w:pPr>
              <w:spacing w:line="360" w:lineRule="atLeast"/>
              <w:rPr>
                <w:rFonts w:hint="eastAsia" w:ascii="宋体" w:hAnsi="宋体" w:cs="宋体"/>
                <w:color w:val="auto"/>
                <w:sz w:val="24"/>
              </w:rPr>
            </w:pPr>
          </w:p>
        </w:tc>
        <w:tc>
          <w:tcPr>
            <w:tcW w:w="714" w:type="pct"/>
          </w:tcPr>
          <w:p w14:paraId="65DAC0F3">
            <w:pPr>
              <w:spacing w:line="360" w:lineRule="atLeast"/>
              <w:rPr>
                <w:rFonts w:hint="eastAsia" w:ascii="宋体" w:hAnsi="宋体" w:cs="宋体"/>
                <w:color w:val="auto"/>
                <w:sz w:val="24"/>
              </w:rPr>
            </w:pPr>
          </w:p>
        </w:tc>
        <w:tc>
          <w:tcPr>
            <w:tcW w:w="714" w:type="pct"/>
          </w:tcPr>
          <w:p w14:paraId="0CDE4529">
            <w:pPr>
              <w:spacing w:line="360" w:lineRule="atLeast"/>
              <w:rPr>
                <w:rFonts w:hint="eastAsia" w:ascii="宋体" w:hAnsi="宋体" w:cs="宋体"/>
                <w:color w:val="auto"/>
                <w:sz w:val="24"/>
              </w:rPr>
            </w:pPr>
          </w:p>
        </w:tc>
        <w:tc>
          <w:tcPr>
            <w:tcW w:w="714" w:type="pct"/>
          </w:tcPr>
          <w:p w14:paraId="37AE2429">
            <w:pPr>
              <w:spacing w:line="360" w:lineRule="atLeast"/>
              <w:rPr>
                <w:rFonts w:hint="eastAsia" w:ascii="宋体" w:hAnsi="宋体" w:cs="宋体"/>
                <w:color w:val="auto"/>
                <w:sz w:val="24"/>
              </w:rPr>
            </w:pPr>
          </w:p>
        </w:tc>
      </w:tr>
    </w:tbl>
    <w:p w14:paraId="120F6B9E">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6C35177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1、本表应按照下列规定填写：</w:t>
      </w:r>
    </w:p>
    <w:p w14:paraId="46CD466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1.1“采购包”、“品目号”、“投标标的”及“数量”应与招标文件《采购标的一览表》中的有关内容（“采购包”、“品目号”、“采购标的”及“数量”）保持一致。</w:t>
      </w:r>
    </w:p>
    <w:p w14:paraId="072B2FE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005643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2FAF242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17092FC6">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3、电子投标文件中涉及“投标标的”、“数量”、“规格”、“来源地”的内容若不一致，应以本表为准。</w:t>
      </w:r>
    </w:p>
    <w:p w14:paraId="5A9A6CB3">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54E3940C">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5D61B51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4695699D">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二、技术和服务要求响应表</w:t>
      </w:r>
    </w:p>
    <w:p w14:paraId="4DE86F0A">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6"/>
        <w:gridCol w:w="2016"/>
        <w:gridCol w:w="2016"/>
        <w:gridCol w:w="2016"/>
        <w:gridCol w:w="2016"/>
      </w:tblGrid>
      <w:tr w14:paraId="28CA0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CE91F3F">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采购包</w:t>
            </w:r>
          </w:p>
        </w:tc>
        <w:tc>
          <w:tcPr>
            <w:tcW w:w="1000" w:type="pct"/>
          </w:tcPr>
          <w:p w14:paraId="0BB2B7C6">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品目号</w:t>
            </w:r>
          </w:p>
        </w:tc>
        <w:tc>
          <w:tcPr>
            <w:tcW w:w="1000" w:type="pct"/>
          </w:tcPr>
          <w:p w14:paraId="5C877FB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技术和服务要求</w:t>
            </w:r>
          </w:p>
        </w:tc>
        <w:tc>
          <w:tcPr>
            <w:tcW w:w="1000" w:type="pct"/>
          </w:tcPr>
          <w:p w14:paraId="30BB09D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投标响应</w:t>
            </w:r>
          </w:p>
        </w:tc>
        <w:tc>
          <w:tcPr>
            <w:tcW w:w="1000" w:type="pct"/>
          </w:tcPr>
          <w:p w14:paraId="3E017770">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是否偏离及说明</w:t>
            </w:r>
          </w:p>
        </w:tc>
      </w:tr>
      <w:tr w14:paraId="43D11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38F42ED2">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1000" w:type="pct"/>
          </w:tcPr>
          <w:p w14:paraId="74343FA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*-1</w:t>
            </w:r>
          </w:p>
        </w:tc>
        <w:tc>
          <w:tcPr>
            <w:tcW w:w="1000" w:type="pct"/>
          </w:tcPr>
          <w:p w14:paraId="1782671B">
            <w:pPr>
              <w:spacing w:line="360" w:lineRule="exact"/>
              <w:rPr>
                <w:rFonts w:hint="eastAsia" w:ascii="宋体" w:hAnsi="宋体" w:cs="宋体"/>
                <w:color w:val="auto"/>
                <w:sz w:val="24"/>
              </w:rPr>
            </w:pPr>
          </w:p>
        </w:tc>
        <w:tc>
          <w:tcPr>
            <w:tcW w:w="1000" w:type="pct"/>
          </w:tcPr>
          <w:p w14:paraId="6B8214D5">
            <w:pPr>
              <w:spacing w:line="360" w:lineRule="exact"/>
              <w:rPr>
                <w:rFonts w:hint="eastAsia" w:ascii="宋体" w:hAnsi="宋体" w:cs="宋体"/>
                <w:color w:val="auto"/>
                <w:sz w:val="24"/>
              </w:rPr>
            </w:pPr>
          </w:p>
        </w:tc>
        <w:tc>
          <w:tcPr>
            <w:tcW w:w="1000" w:type="pct"/>
          </w:tcPr>
          <w:p w14:paraId="3B7A76CA">
            <w:pPr>
              <w:spacing w:line="360" w:lineRule="exact"/>
              <w:rPr>
                <w:rFonts w:hint="eastAsia" w:ascii="宋体" w:hAnsi="宋体" w:cs="宋体"/>
                <w:color w:val="auto"/>
                <w:sz w:val="24"/>
              </w:rPr>
            </w:pPr>
          </w:p>
        </w:tc>
      </w:tr>
      <w:tr w14:paraId="74FB1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369BF334">
            <w:pPr>
              <w:spacing w:line="360" w:lineRule="exact"/>
              <w:rPr>
                <w:rFonts w:hint="eastAsia" w:ascii="宋体" w:hAnsi="宋体" w:cs="宋体"/>
                <w:color w:val="auto"/>
                <w:sz w:val="24"/>
              </w:rPr>
            </w:pPr>
          </w:p>
        </w:tc>
        <w:tc>
          <w:tcPr>
            <w:tcW w:w="1000" w:type="pct"/>
          </w:tcPr>
          <w:p w14:paraId="6EF67FE6">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1000" w:type="pct"/>
          </w:tcPr>
          <w:p w14:paraId="1E427DD3">
            <w:pPr>
              <w:spacing w:line="360" w:lineRule="exact"/>
              <w:rPr>
                <w:rFonts w:hint="eastAsia" w:ascii="宋体" w:hAnsi="宋体" w:cs="宋体"/>
                <w:color w:val="auto"/>
                <w:sz w:val="24"/>
              </w:rPr>
            </w:pPr>
          </w:p>
        </w:tc>
        <w:tc>
          <w:tcPr>
            <w:tcW w:w="1000" w:type="pct"/>
          </w:tcPr>
          <w:p w14:paraId="6981BD7C">
            <w:pPr>
              <w:spacing w:line="360" w:lineRule="exact"/>
              <w:rPr>
                <w:rFonts w:hint="eastAsia" w:ascii="宋体" w:hAnsi="宋体" w:cs="宋体"/>
                <w:color w:val="auto"/>
                <w:sz w:val="24"/>
              </w:rPr>
            </w:pPr>
          </w:p>
        </w:tc>
        <w:tc>
          <w:tcPr>
            <w:tcW w:w="1000" w:type="pct"/>
          </w:tcPr>
          <w:p w14:paraId="16DD480B">
            <w:pPr>
              <w:spacing w:line="360" w:lineRule="exact"/>
              <w:rPr>
                <w:rFonts w:hint="eastAsia" w:ascii="宋体" w:hAnsi="宋体" w:cs="宋体"/>
                <w:color w:val="auto"/>
                <w:sz w:val="24"/>
              </w:rPr>
            </w:pPr>
          </w:p>
        </w:tc>
      </w:tr>
      <w:tr w14:paraId="37F32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309DE07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1000" w:type="pct"/>
          </w:tcPr>
          <w:p w14:paraId="5B84B84D">
            <w:pPr>
              <w:spacing w:line="360" w:lineRule="exact"/>
              <w:rPr>
                <w:rFonts w:hint="eastAsia" w:ascii="宋体" w:hAnsi="宋体" w:cs="宋体"/>
                <w:color w:val="auto"/>
                <w:sz w:val="24"/>
              </w:rPr>
            </w:pPr>
          </w:p>
        </w:tc>
        <w:tc>
          <w:tcPr>
            <w:tcW w:w="1000" w:type="pct"/>
          </w:tcPr>
          <w:p w14:paraId="02D8B737">
            <w:pPr>
              <w:spacing w:line="360" w:lineRule="exact"/>
              <w:rPr>
                <w:rFonts w:hint="eastAsia" w:ascii="宋体" w:hAnsi="宋体" w:cs="宋体"/>
                <w:color w:val="auto"/>
                <w:sz w:val="24"/>
              </w:rPr>
            </w:pPr>
          </w:p>
        </w:tc>
        <w:tc>
          <w:tcPr>
            <w:tcW w:w="1000" w:type="pct"/>
          </w:tcPr>
          <w:p w14:paraId="3E8CBE60">
            <w:pPr>
              <w:spacing w:line="360" w:lineRule="exact"/>
              <w:rPr>
                <w:rFonts w:hint="eastAsia" w:ascii="宋体" w:hAnsi="宋体" w:cs="宋体"/>
                <w:color w:val="auto"/>
                <w:sz w:val="24"/>
              </w:rPr>
            </w:pPr>
          </w:p>
        </w:tc>
        <w:tc>
          <w:tcPr>
            <w:tcW w:w="1000" w:type="pct"/>
          </w:tcPr>
          <w:p w14:paraId="5747DE3E">
            <w:pPr>
              <w:spacing w:line="360" w:lineRule="exact"/>
              <w:rPr>
                <w:rFonts w:hint="eastAsia" w:ascii="宋体" w:hAnsi="宋体" w:cs="宋体"/>
                <w:color w:val="auto"/>
                <w:sz w:val="24"/>
              </w:rPr>
            </w:pPr>
          </w:p>
        </w:tc>
      </w:tr>
    </w:tbl>
    <w:p w14:paraId="6DF4FCF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434F4133">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1、本表应按照下列规定填写：</w:t>
      </w:r>
    </w:p>
    <w:p w14:paraId="7B98E3E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1.1“技术和服务要求”项下填写的内容应与招标文件第五章“技术和服务要求”的内容保持一致。</w:t>
      </w:r>
    </w:p>
    <w:p w14:paraId="09401FA2">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51D3D0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1.3“是否偏离及说明”项下应按下列规定填写：优于的，填写“正偏离”；符合的，填写“无偏离”；低于的，填写“负偏离”。</w:t>
      </w:r>
    </w:p>
    <w:p w14:paraId="65D4EBED">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775FE37C">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097BB23">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2792FBE">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268A2EC5">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三、商务条件响应表</w:t>
      </w:r>
    </w:p>
    <w:p w14:paraId="76DD20A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6"/>
        <w:gridCol w:w="2016"/>
        <w:gridCol w:w="2016"/>
        <w:gridCol w:w="2016"/>
        <w:gridCol w:w="2016"/>
      </w:tblGrid>
      <w:tr w14:paraId="16BC0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6DBB51FB">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采购包</w:t>
            </w:r>
          </w:p>
        </w:tc>
        <w:tc>
          <w:tcPr>
            <w:tcW w:w="1000" w:type="pct"/>
          </w:tcPr>
          <w:p w14:paraId="1F8E8024">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品目号</w:t>
            </w:r>
          </w:p>
        </w:tc>
        <w:tc>
          <w:tcPr>
            <w:tcW w:w="1000" w:type="pct"/>
          </w:tcPr>
          <w:p w14:paraId="3E3F77D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商务条件</w:t>
            </w:r>
          </w:p>
        </w:tc>
        <w:tc>
          <w:tcPr>
            <w:tcW w:w="1000" w:type="pct"/>
          </w:tcPr>
          <w:p w14:paraId="3E2E5BB7">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投标响应</w:t>
            </w:r>
          </w:p>
        </w:tc>
        <w:tc>
          <w:tcPr>
            <w:tcW w:w="1000" w:type="pct"/>
          </w:tcPr>
          <w:p w14:paraId="0F2E262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是否偏离及说明</w:t>
            </w:r>
          </w:p>
        </w:tc>
      </w:tr>
      <w:tr w14:paraId="58AB5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51559CDC">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1000" w:type="pct"/>
          </w:tcPr>
          <w:p w14:paraId="4E441323">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*-1</w:t>
            </w:r>
          </w:p>
        </w:tc>
        <w:tc>
          <w:tcPr>
            <w:tcW w:w="1000" w:type="pct"/>
          </w:tcPr>
          <w:p w14:paraId="7602E0A5">
            <w:pPr>
              <w:spacing w:line="360" w:lineRule="exact"/>
              <w:rPr>
                <w:rFonts w:hint="eastAsia" w:ascii="宋体" w:hAnsi="宋体" w:cs="宋体"/>
                <w:color w:val="auto"/>
                <w:sz w:val="24"/>
              </w:rPr>
            </w:pPr>
          </w:p>
        </w:tc>
        <w:tc>
          <w:tcPr>
            <w:tcW w:w="1000" w:type="pct"/>
          </w:tcPr>
          <w:p w14:paraId="05C3782A">
            <w:pPr>
              <w:spacing w:line="360" w:lineRule="exact"/>
              <w:rPr>
                <w:rFonts w:hint="eastAsia" w:ascii="宋体" w:hAnsi="宋体" w:cs="宋体"/>
                <w:color w:val="auto"/>
                <w:sz w:val="24"/>
              </w:rPr>
            </w:pPr>
          </w:p>
        </w:tc>
        <w:tc>
          <w:tcPr>
            <w:tcW w:w="1000" w:type="pct"/>
          </w:tcPr>
          <w:p w14:paraId="1511087B">
            <w:pPr>
              <w:spacing w:line="360" w:lineRule="exact"/>
              <w:rPr>
                <w:rFonts w:hint="eastAsia" w:ascii="宋体" w:hAnsi="宋体" w:cs="宋体"/>
                <w:color w:val="auto"/>
                <w:sz w:val="24"/>
              </w:rPr>
            </w:pPr>
          </w:p>
        </w:tc>
      </w:tr>
      <w:tr w14:paraId="744CC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747616F2">
            <w:pPr>
              <w:spacing w:line="360" w:lineRule="exact"/>
              <w:rPr>
                <w:rFonts w:hint="eastAsia" w:ascii="宋体" w:hAnsi="宋体" w:cs="宋体"/>
                <w:color w:val="auto"/>
                <w:sz w:val="24"/>
              </w:rPr>
            </w:pPr>
          </w:p>
        </w:tc>
        <w:tc>
          <w:tcPr>
            <w:tcW w:w="1000" w:type="pct"/>
          </w:tcPr>
          <w:p w14:paraId="323B60EA">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1000" w:type="pct"/>
          </w:tcPr>
          <w:p w14:paraId="4058C8D1">
            <w:pPr>
              <w:spacing w:line="360" w:lineRule="exact"/>
              <w:rPr>
                <w:rFonts w:hint="eastAsia" w:ascii="宋体" w:hAnsi="宋体" w:cs="宋体"/>
                <w:color w:val="auto"/>
                <w:sz w:val="24"/>
              </w:rPr>
            </w:pPr>
          </w:p>
        </w:tc>
        <w:tc>
          <w:tcPr>
            <w:tcW w:w="1000" w:type="pct"/>
          </w:tcPr>
          <w:p w14:paraId="398F2CD8">
            <w:pPr>
              <w:spacing w:line="360" w:lineRule="exact"/>
              <w:rPr>
                <w:rFonts w:hint="eastAsia" w:ascii="宋体" w:hAnsi="宋体" w:cs="宋体"/>
                <w:color w:val="auto"/>
                <w:sz w:val="24"/>
              </w:rPr>
            </w:pPr>
          </w:p>
        </w:tc>
        <w:tc>
          <w:tcPr>
            <w:tcW w:w="1000" w:type="pct"/>
          </w:tcPr>
          <w:p w14:paraId="6F9B8EEA">
            <w:pPr>
              <w:spacing w:line="360" w:lineRule="exact"/>
              <w:rPr>
                <w:rFonts w:hint="eastAsia" w:ascii="宋体" w:hAnsi="宋体" w:cs="宋体"/>
                <w:color w:val="auto"/>
                <w:sz w:val="24"/>
              </w:rPr>
            </w:pPr>
          </w:p>
        </w:tc>
      </w:tr>
      <w:tr w14:paraId="3634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4E66EE65">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w:t>
            </w:r>
          </w:p>
        </w:tc>
        <w:tc>
          <w:tcPr>
            <w:tcW w:w="1000" w:type="pct"/>
          </w:tcPr>
          <w:p w14:paraId="2A8B1C56">
            <w:pPr>
              <w:spacing w:line="360" w:lineRule="exact"/>
              <w:rPr>
                <w:rFonts w:hint="eastAsia" w:ascii="宋体" w:hAnsi="宋体" w:cs="宋体"/>
                <w:color w:val="auto"/>
                <w:sz w:val="24"/>
              </w:rPr>
            </w:pPr>
          </w:p>
        </w:tc>
        <w:tc>
          <w:tcPr>
            <w:tcW w:w="1000" w:type="pct"/>
          </w:tcPr>
          <w:p w14:paraId="59346185">
            <w:pPr>
              <w:spacing w:line="360" w:lineRule="exact"/>
              <w:rPr>
                <w:rFonts w:hint="eastAsia" w:ascii="宋体" w:hAnsi="宋体" w:cs="宋体"/>
                <w:color w:val="auto"/>
                <w:sz w:val="24"/>
              </w:rPr>
            </w:pPr>
          </w:p>
        </w:tc>
        <w:tc>
          <w:tcPr>
            <w:tcW w:w="1000" w:type="pct"/>
          </w:tcPr>
          <w:p w14:paraId="70DFB148">
            <w:pPr>
              <w:spacing w:line="360" w:lineRule="exact"/>
              <w:rPr>
                <w:rFonts w:hint="eastAsia" w:ascii="宋体" w:hAnsi="宋体" w:cs="宋体"/>
                <w:color w:val="auto"/>
                <w:sz w:val="24"/>
              </w:rPr>
            </w:pPr>
          </w:p>
        </w:tc>
        <w:tc>
          <w:tcPr>
            <w:tcW w:w="1000" w:type="pct"/>
          </w:tcPr>
          <w:p w14:paraId="530A6864">
            <w:pPr>
              <w:spacing w:line="360" w:lineRule="exact"/>
              <w:rPr>
                <w:rFonts w:hint="eastAsia" w:ascii="宋体" w:hAnsi="宋体" w:cs="宋体"/>
                <w:color w:val="auto"/>
                <w:sz w:val="24"/>
              </w:rPr>
            </w:pPr>
          </w:p>
        </w:tc>
      </w:tr>
    </w:tbl>
    <w:p w14:paraId="0167728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※注意：</w:t>
      </w:r>
    </w:p>
    <w:p w14:paraId="0FD251F5">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1、本表应按照下列规定填写：</w:t>
      </w:r>
    </w:p>
    <w:p w14:paraId="01F34D8C">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1.1“商务条件”项下填写的内容应与招标文件第五章“商务条件”的内容保持一致。</w:t>
      </w:r>
    </w:p>
    <w:p w14:paraId="7BA51B71">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3A2F0159">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1.3“是否偏离及说明”项下应按下列规定填写：优于的，填写“正偏离”；符合的，填写“无偏离”；低于的，填写“负偏离”。</w:t>
      </w:r>
    </w:p>
    <w:p w14:paraId="4EE1F527">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D143F5A">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1E40AF37">
      <w:pPr>
        <w:pStyle w:val="20"/>
        <w:spacing w:line="360" w:lineRule="exact"/>
        <w:ind w:firstLine="480"/>
        <w:jc w:val="right"/>
        <w:rPr>
          <w:rFonts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85EF73A">
      <w:pPr>
        <w:pStyle w:val="20"/>
        <w:spacing w:line="360" w:lineRule="exact"/>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br w:type="page"/>
      </w:r>
    </w:p>
    <w:p w14:paraId="001AE123">
      <w:pPr>
        <w:pStyle w:val="20"/>
        <w:spacing w:line="360" w:lineRule="exact"/>
        <w:jc w:val="center"/>
        <w:outlineLvl w:val="2"/>
        <w:rPr>
          <w:rFonts w:ascii="宋体" w:hAnsi="宋体" w:eastAsia="宋体" w:cs="宋体"/>
          <w:color w:val="auto"/>
          <w:sz w:val="24"/>
          <w:szCs w:val="24"/>
        </w:rPr>
      </w:pPr>
      <w:r>
        <w:rPr>
          <w:rFonts w:ascii="宋体" w:hAnsi="宋体" w:eastAsia="宋体" w:cs="宋体"/>
          <w:b/>
          <w:color w:val="auto"/>
          <w:sz w:val="24"/>
          <w:szCs w:val="24"/>
        </w:rPr>
        <w:t>四、投标人提交的其他资料（若有）</w:t>
      </w:r>
    </w:p>
    <w:p w14:paraId="0466C7EB">
      <w:pPr>
        <w:pStyle w:val="20"/>
        <w:spacing w:line="360" w:lineRule="exact"/>
        <w:ind w:firstLine="480"/>
        <w:jc w:val="center"/>
        <w:rPr>
          <w:rFonts w:ascii="宋体" w:hAnsi="宋体" w:eastAsia="宋体" w:cs="宋体"/>
          <w:color w:val="auto"/>
          <w:sz w:val="24"/>
          <w:szCs w:val="24"/>
        </w:rPr>
      </w:pPr>
      <w:r>
        <w:rPr>
          <w:rFonts w:ascii="宋体" w:hAnsi="宋体" w:eastAsia="宋体" w:cs="宋体"/>
          <w:color w:val="auto"/>
          <w:sz w:val="24"/>
          <w:szCs w:val="24"/>
        </w:rPr>
        <w:t>编制说明</w:t>
      </w:r>
    </w:p>
    <w:p w14:paraId="0B4C7838">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1、招标文件要求提交的除“资格及资信证明部分”、“报价部分”外的其他证明材料或资料加盖投标人的单位公章后应在此项下提交。</w:t>
      </w:r>
    </w:p>
    <w:p w14:paraId="177AC55F">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2、招标文件要求投标人提供方案（包括但不限于：组织、实施、技术、服务方案等）的，投标人应在此项下提交。</w:t>
      </w:r>
    </w:p>
    <w:p w14:paraId="7A875DE4">
      <w:pPr>
        <w:pStyle w:val="20"/>
        <w:spacing w:line="360" w:lineRule="exact"/>
        <w:ind w:firstLine="480"/>
        <w:rPr>
          <w:rFonts w:ascii="宋体" w:hAnsi="宋体" w:eastAsia="宋体" w:cs="宋体"/>
          <w:color w:val="auto"/>
          <w:sz w:val="24"/>
          <w:szCs w:val="24"/>
        </w:rPr>
      </w:pPr>
      <w:r>
        <w:rPr>
          <w:rFonts w:ascii="宋体" w:hAnsi="宋体" w:eastAsia="宋体" w:cs="宋体"/>
          <w:color w:val="auto"/>
          <w:sz w:val="24"/>
          <w:szCs w:val="24"/>
        </w:rPr>
        <w:t>3、除招标文件另有规定外，投标人认为需要提交的其他证明材料或资料加盖投标人的单位公章后应在此项下提交。</w:t>
      </w:r>
    </w:p>
    <w:p w14:paraId="37891DFF">
      <w:pPr>
        <w:pStyle w:val="20"/>
        <w:rPr>
          <w:rFonts w:ascii="宋体" w:hAnsi="宋体" w:eastAsia="宋体" w:cs="宋体"/>
          <w:color w:val="auto"/>
        </w:rPr>
      </w:pPr>
    </w:p>
    <w:p w14:paraId="78EE44D8">
      <w:pPr>
        <w:pStyle w:val="20"/>
        <w:rPr>
          <w:rFonts w:ascii="宋体" w:hAnsi="宋体" w:eastAsia="宋体" w:cs="宋体"/>
          <w:color w:val="auto"/>
        </w:rPr>
      </w:pPr>
    </w:p>
    <w:p w14:paraId="2DE28A99">
      <w:pPr>
        <w:pStyle w:val="20"/>
        <w:rPr>
          <w:rFonts w:ascii="宋体" w:hAnsi="宋体" w:eastAsia="宋体" w:cs="宋体"/>
          <w:color w:val="auto"/>
        </w:rPr>
      </w:pPr>
    </w:p>
    <w:p w14:paraId="510BE7AD">
      <w:pPr>
        <w:pStyle w:val="20"/>
        <w:rPr>
          <w:rFonts w:ascii="宋体" w:hAnsi="宋体" w:eastAsia="宋体" w:cs="宋体"/>
          <w:color w:val="auto"/>
        </w:rPr>
      </w:pPr>
    </w:p>
    <w:p w14:paraId="01E5C2F2">
      <w:pPr>
        <w:pStyle w:val="20"/>
        <w:rPr>
          <w:rFonts w:ascii="宋体" w:hAnsi="宋体" w:eastAsia="宋体" w:cs="宋体"/>
          <w:color w:val="auto"/>
        </w:rPr>
      </w:pPr>
    </w:p>
    <w:p w14:paraId="0C912EF4">
      <w:pPr>
        <w:pStyle w:val="20"/>
        <w:rPr>
          <w:rFonts w:ascii="宋体" w:hAnsi="宋体" w:eastAsia="宋体" w:cs="宋体"/>
          <w:color w:val="auto"/>
        </w:rPr>
      </w:pPr>
    </w:p>
    <w:p w14:paraId="27450C19">
      <w:pPr>
        <w:pStyle w:val="20"/>
        <w:rPr>
          <w:rFonts w:ascii="宋体" w:hAnsi="宋体" w:eastAsia="宋体" w:cs="宋体"/>
          <w:color w:val="auto"/>
        </w:rPr>
      </w:pPr>
    </w:p>
    <w:p w14:paraId="144DA3A8">
      <w:pPr>
        <w:pStyle w:val="20"/>
        <w:rPr>
          <w:rFonts w:ascii="宋体" w:hAnsi="宋体" w:eastAsia="宋体" w:cs="宋体"/>
          <w:color w:val="auto"/>
        </w:rPr>
      </w:pPr>
    </w:p>
    <w:p w14:paraId="4490E6CF">
      <w:pPr>
        <w:pStyle w:val="20"/>
        <w:rPr>
          <w:rFonts w:ascii="宋体" w:hAnsi="宋体" w:eastAsia="宋体" w:cs="宋体"/>
          <w:color w:val="auto"/>
        </w:rPr>
      </w:pPr>
    </w:p>
    <w:p w14:paraId="5FBA66C6">
      <w:pPr>
        <w:pStyle w:val="20"/>
        <w:rPr>
          <w:rFonts w:ascii="宋体" w:hAnsi="宋体" w:eastAsia="宋体" w:cs="宋体"/>
          <w:color w:val="auto"/>
        </w:rPr>
      </w:pPr>
    </w:p>
    <w:p w14:paraId="67728986">
      <w:pPr>
        <w:pStyle w:val="20"/>
        <w:rPr>
          <w:rFonts w:ascii="宋体" w:hAnsi="宋体" w:eastAsia="宋体" w:cs="宋体"/>
          <w:color w:val="auto"/>
        </w:rPr>
      </w:pPr>
    </w:p>
    <w:p w14:paraId="0E3C332C">
      <w:pPr>
        <w:pStyle w:val="20"/>
        <w:rPr>
          <w:rFonts w:ascii="宋体" w:hAnsi="宋体" w:eastAsia="宋体" w:cs="宋体"/>
          <w:color w:val="auto"/>
        </w:rPr>
      </w:pPr>
    </w:p>
    <w:p w14:paraId="17A6CCAE">
      <w:pPr>
        <w:pStyle w:val="20"/>
        <w:rPr>
          <w:rFonts w:ascii="宋体" w:hAnsi="宋体" w:eastAsia="宋体" w:cs="宋体"/>
          <w:color w:val="auto"/>
        </w:rPr>
      </w:pPr>
    </w:p>
    <w:p w14:paraId="106EAE58">
      <w:pPr>
        <w:pStyle w:val="20"/>
        <w:rPr>
          <w:rFonts w:ascii="宋体" w:hAnsi="宋体" w:eastAsia="宋体" w:cs="宋体"/>
          <w:color w:val="auto"/>
        </w:rPr>
      </w:pPr>
    </w:p>
    <w:p w14:paraId="14DBB261">
      <w:pPr>
        <w:pStyle w:val="20"/>
        <w:rPr>
          <w:rFonts w:ascii="宋体" w:hAnsi="宋体" w:eastAsia="宋体" w:cs="宋体"/>
          <w:color w:val="auto"/>
        </w:rPr>
      </w:pPr>
    </w:p>
    <w:p w14:paraId="6F9B00F3">
      <w:pPr>
        <w:pStyle w:val="20"/>
        <w:rPr>
          <w:rFonts w:ascii="宋体" w:hAnsi="宋体" w:eastAsia="宋体" w:cs="宋体"/>
          <w:color w:val="auto"/>
        </w:rPr>
      </w:pPr>
    </w:p>
    <w:p w14:paraId="7903FAEE">
      <w:pPr>
        <w:pStyle w:val="20"/>
        <w:rPr>
          <w:rFonts w:ascii="宋体" w:hAnsi="宋体" w:eastAsia="宋体" w:cs="宋体"/>
          <w:color w:val="auto"/>
        </w:rPr>
      </w:pPr>
    </w:p>
    <w:p w14:paraId="25ECC4FE">
      <w:pPr>
        <w:pStyle w:val="20"/>
        <w:rPr>
          <w:rFonts w:ascii="宋体" w:hAnsi="宋体" w:eastAsia="宋体" w:cs="宋体"/>
          <w:color w:val="auto"/>
        </w:rPr>
      </w:pPr>
    </w:p>
    <w:p w14:paraId="3E8B71D3">
      <w:pPr>
        <w:pStyle w:val="20"/>
        <w:rPr>
          <w:rFonts w:ascii="宋体" w:hAnsi="宋体" w:eastAsia="宋体" w:cs="宋体"/>
          <w:color w:val="auto"/>
        </w:rPr>
      </w:pPr>
    </w:p>
    <w:p w14:paraId="1342D7E9">
      <w:pPr>
        <w:pStyle w:val="20"/>
        <w:rPr>
          <w:rFonts w:ascii="宋体" w:hAnsi="宋体" w:eastAsia="宋体" w:cs="宋体"/>
          <w:color w:val="auto"/>
        </w:rPr>
      </w:pPr>
    </w:p>
    <w:p w14:paraId="0C28D0DF">
      <w:pPr>
        <w:pStyle w:val="20"/>
        <w:rPr>
          <w:rFonts w:ascii="宋体" w:hAnsi="宋体" w:eastAsia="宋体" w:cs="宋体"/>
          <w:color w:val="auto"/>
        </w:rPr>
      </w:pPr>
    </w:p>
    <w:p w14:paraId="28AB045D">
      <w:pPr>
        <w:pStyle w:val="20"/>
        <w:rPr>
          <w:rFonts w:ascii="宋体" w:hAnsi="宋体" w:eastAsia="宋体" w:cs="宋体"/>
          <w:color w:val="auto"/>
        </w:rPr>
      </w:pPr>
    </w:p>
    <w:p w14:paraId="11C522F1">
      <w:pPr>
        <w:pStyle w:val="20"/>
        <w:rPr>
          <w:rFonts w:ascii="宋体" w:hAnsi="宋体" w:eastAsia="宋体" w:cs="宋体"/>
          <w:color w:val="auto"/>
        </w:rPr>
      </w:pPr>
    </w:p>
    <w:p w14:paraId="4533DA42">
      <w:pPr>
        <w:pStyle w:val="20"/>
        <w:rPr>
          <w:rFonts w:ascii="宋体" w:hAnsi="宋体" w:eastAsia="宋体" w:cs="宋体"/>
          <w:color w:val="auto"/>
        </w:rPr>
      </w:pPr>
    </w:p>
    <w:p w14:paraId="1D6D9BCE">
      <w:pPr>
        <w:pStyle w:val="20"/>
        <w:rPr>
          <w:rFonts w:ascii="宋体" w:hAnsi="宋体" w:eastAsia="宋体" w:cs="宋体"/>
          <w:color w:val="auto"/>
        </w:rPr>
      </w:pPr>
    </w:p>
    <w:p w14:paraId="7429A795">
      <w:pPr>
        <w:pStyle w:val="20"/>
        <w:rPr>
          <w:rFonts w:ascii="宋体" w:hAnsi="宋体" w:eastAsia="宋体" w:cs="宋体"/>
          <w:color w:val="auto"/>
        </w:rPr>
      </w:pPr>
    </w:p>
    <w:p w14:paraId="2F5EEC24">
      <w:pPr>
        <w:pStyle w:val="20"/>
        <w:rPr>
          <w:rFonts w:ascii="宋体" w:hAnsi="宋体" w:eastAsia="宋体" w:cs="宋体"/>
          <w:color w:val="auto"/>
        </w:rPr>
      </w:pPr>
    </w:p>
    <w:p w14:paraId="21145D01">
      <w:pPr>
        <w:pStyle w:val="20"/>
        <w:rPr>
          <w:rFonts w:ascii="宋体" w:hAnsi="宋体" w:eastAsia="宋体" w:cs="宋体"/>
          <w:color w:val="auto"/>
        </w:rPr>
      </w:pPr>
    </w:p>
    <w:p w14:paraId="57F727ED">
      <w:pPr>
        <w:pStyle w:val="20"/>
        <w:rPr>
          <w:rFonts w:ascii="宋体" w:hAnsi="宋体" w:eastAsia="宋体" w:cs="宋体"/>
          <w:color w:val="auto"/>
        </w:rPr>
      </w:pPr>
    </w:p>
    <w:p w14:paraId="122E56D6">
      <w:pPr>
        <w:pStyle w:val="20"/>
        <w:rPr>
          <w:rFonts w:ascii="宋体" w:hAnsi="宋体" w:eastAsia="宋体" w:cs="宋体"/>
          <w:color w:val="auto"/>
        </w:rPr>
      </w:pPr>
    </w:p>
    <w:p w14:paraId="5E448EA9">
      <w:pPr>
        <w:pStyle w:val="20"/>
        <w:rPr>
          <w:rFonts w:ascii="宋体" w:hAnsi="宋体" w:eastAsia="宋体" w:cs="宋体"/>
          <w:color w:val="auto"/>
        </w:rPr>
      </w:pPr>
    </w:p>
    <w:p w14:paraId="149A16AE">
      <w:pPr>
        <w:pStyle w:val="20"/>
        <w:rPr>
          <w:rFonts w:ascii="宋体" w:hAnsi="宋体" w:eastAsia="宋体" w:cs="宋体"/>
          <w:color w:val="auto"/>
        </w:rPr>
      </w:pPr>
    </w:p>
    <w:p w14:paraId="66B90666">
      <w:pPr>
        <w:pStyle w:val="20"/>
        <w:rPr>
          <w:rFonts w:ascii="宋体" w:hAnsi="宋体" w:eastAsia="宋体" w:cs="宋体"/>
          <w:color w:val="auto"/>
        </w:rPr>
      </w:pPr>
    </w:p>
    <w:p w14:paraId="6AF8E5EF">
      <w:pPr>
        <w:pStyle w:val="20"/>
        <w:rPr>
          <w:rFonts w:ascii="宋体" w:hAnsi="宋体" w:eastAsia="宋体" w:cs="宋体"/>
          <w:color w:val="auto"/>
        </w:rPr>
      </w:pPr>
    </w:p>
    <w:p w14:paraId="2E88A632">
      <w:pPr>
        <w:pStyle w:val="20"/>
        <w:rPr>
          <w:rFonts w:hint="default" w:ascii="宋体" w:hAnsi="宋体" w:eastAsia="宋体" w:cs="宋体"/>
          <w:color w:val="auto"/>
          <w:lang w:val="en-US" w:eastAsia="zh-CN"/>
        </w:rPr>
      </w:pPr>
      <w:r>
        <w:rPr>
          <w:rFonts w:hint="eastAsia" w:ascii="宋体" w:hAnsi="宋体" w:eastAsia="宋体" w:cs="宋体"/>
          <w:b/>
          <w:bCs/>
          <w:color w:val="auto"/>
          <w:kern w:val="2"/>
          <w:sz w:val="28"/>
          <w:szCs w:val="28"/>
          <w:lang w:val="en-US" w:eastAsia="zh-CN" w:bidi="ar-SA"/>
        </w:rPr>
        <w:t>附件1</w:t>
      </w:r>
    </w:p>
    <w:tbl>
      <w:tblPr>
        <w:tblStyle w:val="15"/>
        <w:tblW w:w="10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1083"/>
        <w:gridCol w:w="1127"/>
        <w:gridCol w:w="1362"/>
        <w:gridCol w:w="2925"/>
        <w:gridCol w:w="3315"/>
      </w:tblGrid>
      <w:tr w14:paraId="33D7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749" w:type="dxa"/>
            <w:gridSpan w:val="6"/>
            <w:tcBorders>
              <w:top w:val="nil"/>
              <w:left w:val="nil"/>
              <w:bottom w:val="nil"/>
              <w:right w:val="nil"/>
            </w:tcBorders>
            <w:shd w:val="clear" w:color="auto" w:fill="auto"/>
            <w:noWrap/>
            <w:vAlign w:val="center"/>
          </w:tcPr>
          <w:p w14:paraId="7FF5DAE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福州市市管公园绿化分级养护质量标准及评分细则（试行）</w:t>
            </w:r>
          </w:p>
        </w:tc>
      </w:tr>
      <w:tr w14:paraId="2896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74A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考核项目</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18E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权重</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3AB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养护质量标准</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1D0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评分细则</w:t>
            </w:r>
          </w:p>
        </w:tc>
      </w:tr>
      <w:tr w14:paraId="2F40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866D">
            <w:pPr>
              <w:jc w:val="center"/>
              <w:rPr>
                <w:rFonts w:hint="eastAsia" w:ascii="宋体" w:hAnsi="宋体" w:eastAsia="宋体" w:cs="宋体"/>
                <w:b/>
                <w:bCs/>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8D7F">
            <w:pPr>
              <w:jc w:val="center"/>
              <w:rPr>
                <w:rFonts w:hint="eastAsia" w:ascii="宋体" w:hAnsi="宋体" w:eastAsia="宋体" w:cs="宋体"/>
                <w:b/>
                <w:bCs/>
                <w:i w:val="0"/>
                <w:iCs w:val="0"/>
                <w:color w:val="000000"/>
                <w:sz w:val="24"/>
                <w:szCs w:val="24"/>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1732">
            <w:pPr>
              <w:jc w:val="center"/>
              <w:rPr>
                <w:rFonts w:hint="eastAsia" w:ascii="宋体" w:hAnsi="宋体" w:eastAsia="宋体" w:cs="宋体"/>
                <w:b/>
                <w:bCs/>
                <w:i w:val="0"/>
                <w:iCs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9DDD">
            <w:pPr>
              <w:jc w:val="center"/>
              <w:rPr>
                <w:rFonts w:hint="eastAsia" w:ascii="宋体" w:hAnsi="宋体" w:eastAsia="宋体" w:cs="宋体"/>
                <w:b/>
                <w:bCs/>
                <w:i w:val="0"/>
                <w:iCs w:val="0"/>
                <w:color w:val="000000"/>
                <w:sz w:val="24"/>
                <w:szCs w:val="24"/>
                <w:u w:val="none"/>
              </w:rPr>
            </w:pPr>
          </w:p>
        </w:tc>
      </w:tr>
      <w:tr w14:paraId="21B3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9E9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一般性考核项目（80分）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86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植物养护状况(42分)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4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B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①生长旺盛，枝叶健壮，树形美观；树干挺直，抹除基部蘖芽萌；主侧枝分布匀称，无枯枝断枝病虫枝及非自然的黄叶：无藤蔓攀附和寄生植物。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②结合植物生长特性等组织修剪；梳理榕属植物气生根，避免杂乱。</w:t>
            </w:r>
            <w:r>
              <w:rPr>
                <w:rFonts w:hint="eastAsia" w:ascii="宋体" w:hAnsi="宋体" w:eastAsia="宋体" w:cs="宋体"/>
                <w:i w:val="0"/>
                <w:iCs w:val="0"/>
                <w:color w:val="000000"/>
                <w:kern w:val="0"/>
                <w:sz w:val="24"/>
                <w:szCs w:val="24"/>
                <w:u w:val="none"/>
                <w:lang w:val="en-US" w:eastAsia="zh-CN" w:bidi="ar"/>
              </w:rPr>
              <w:br w:type="textWrapping"/>
            </w:r>
            <w:r>
              <w:rPr>
                <w:rStyle w:val="25"/>
                <w:lang w:val="en-US" w:eastAsia="zh-CN" w:bidi="ar"/>
              </w:rPr>
              <w:t>③</w:t>
            </w:r>
            <w:r>
              <w:rPr>
                <w:rStyle w:val="26"/>
                <w:lang w:val="en-US" w:eastAsia="zh-CN" w:bidi="ar"/>
              </w:rPr>
              <w:t>根据要求对过密、生长环境不适或与周边环境不协调的植株进行移植或改植；因养护原因导致应及时去除、补植或进行处罚；补植时，选用与原有树种一致，规格、树形相近的树木，并按要求结合植物的生态习性以及季节特点，安排补植时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B6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①植株生长不良，枝条稀疏、骨架不完整的，每株扣0.5分；花乔木未正常开花的，每株扣0.5分。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有枯枝、断枝病虫枝的，每处扣0.5分；有藤蔓攀附和寄生植物的，每处扣0.2分。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③树冠未根据生长特性进行修剪，导致枝叶过密、不透风不透光，或树形杂乱的，每株扣1分。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④树干下部蘖芽、侧生枝条未及时抹除的，每株扣0.2分。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⑤榕属植物气生根未进行梳理，生长杂乱的，每株扣0.2分。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⑥未按要求及时对过密、生长环境不适或与周边环境不协调植株进行移植或改植的，每株扣1分。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⑦未按要求对死亡树木及时去除或补植，每株扣1分。</w:t>
            </w:r>
          </w:p>
        </w:tc>
      </w:tr>
      <w:tr w14:paraId="7FAC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5BBD">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9E7C">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A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E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4D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①灌木生长势好，花繁叶茂，枝条疏密得当，通风透光；正常开花，花多色艳，无非自然落花落蕾现象；无枯枝断枝及非自然的黄叶。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②结合植物的生长特性等组织修剪，既造型美观又能适时开花，花多色艳，残花枯枝枯叶应及时修剪、摘除。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根据要求对过密、生长环境不适或与周边环境不协调的植株进行移植或改植；因养护原因缺株、死株的灌木，应及时去除、补植或进行处罚；补植时，选用与原有品种一致，规格相近的苗木，并按要求结合植物的生态习性以及季节特点，安排补植时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0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①植株长势不良、枝条疏密处理不当、未正常开花，1%＜缺（死）株率≤2%，扣1分；2%＜缺（死）株率≤5%，扣2-4分；5%＜缺（死）株率，扣5分。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②未根据生长特性进行修剪，单株灌木形态不自然饱满、灌木丛外形轮廓不整齐、花灌木未根据开花习性进行修剪，每处扣1分。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③未按要求及时对过密、生长环境不适或与周边环境不协调植株进行移植或改植，每次扣1分；未按要求及时去除或补植缺株、死亡灌木，每次扣1分。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④有藤蔓攀附和寄生植物的，每处扣0.2分。</w:t>
            </w:r>
          </w:p>
        </w:tc>
      </w:tr>
      <w:tr w14:paraId="420F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138E">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758B">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6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草本</w:t>
            </w:r>
          </w:p>
          <w:p w14:paraId="01BF8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F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A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①植株生长健壮，茎干健壮，花型美观，花色鲜艳，花期整齐，株高一致。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②缺株倒伏的花苗≤3%。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③无非自然落花落蕾现象，基本无枯叶、残花。</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DA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①缺株倒伏＞3%，每增加1%扣1分。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②出现非自然落花落蕾现象，每处扣1分。</w:t>
            </w:r>
          </w:p>
        </w:tc>
      </w:tr>
      <w:tr w14:paraId="7D32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2"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A7E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一般性考核项目（80分）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D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植物养护状况(42分)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绿篱及地被</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5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①绿篱应与周围环境协调，轮廓清晰，整齐美观。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②地被生长旺盛，枝繁叶茂，无杂草；无凹凸感，边缘整齐自然、线条清晰流畅。</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72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①绿篱轮廓不清晰、线条不流畅、高度不一致，侧面不平齐，有徒长枝条，有杂草攀附缠绕，每处扣1分。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②地被有杂草、有斑秃，每处扣1分。</w:t>
            </w:r>
          </w:p>
        </w:tc>
      </w:tr>
      <w:tr w14:paraId="528B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57AE">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C450">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B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①草种纯正，生长旺盛，草坪覆盖率≥98%。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②杂草率≤2%，自然缓坡，自然排水，切边整齐，线条流畅，无坑洼积水现象；按要求及时打孔复壮。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③根据季节特点和植物的生长发育特性，确保草坪高度一致、边缘整齐。修剪后无明显草屑。</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9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①斑秃面积＞2%的，每增加1%扣1分。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②杂草率＞2%的，每增加1%扣1分。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③高度不一致、切边不整齐、有坑洼积水现象，未按要求打孔复壮，每处（次）扣1分。</w:t>
            </w:r>
          </w:p>
        </w:tc>
      </w:tr>
      <w:tr w14:paraId="12E2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479F">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B748">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病虫害防治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CB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①遵循预防为主，综合防治的原则，科学有针对性地制定病虫害防治预案和计划。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②基本无有害生物危害状。受害株数应控制在总量的3%以下，单株受害程度在5%以下，草坪受害面积在总量2%以下。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③及时普查和扑杀各种检疫性有害生物，防治率应占到100%。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④科学依法依规使用农药，合理安排施药时间，严禁使用国家明令禁止的剧毒、高残留农药。</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A7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①无科学合理的病虫害防治预案和计划，扣2分。未按照管理单位要求以及防治预案和计划实施的，每次或每处扣0.2分。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②乔灌木病虫害危害株数达到总量3%的，扣1分，每增加1%扣1分。草坪受害面积达到总量 2%的，扣1分，每增加1%扣1分。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③发现检疫性有害生物的，每处扣1分。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④使用国家明令禁止的剧毒、高残留农药的，每次扣5分。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⑤发生药害事故，或影响市民游园体验被投诉的，视情节扣1-5分。</w:t>
            </w:r>
          </w:p>
        </w:tc>
      </w:tr>
      <w:tr w14:paraId="1449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B7DF">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2622">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C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水肥</w:t>
            </w:r>
          </w:p>
          <w:p w14:paraId="6E848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2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24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①科学有针对性地制定年度施肥计划。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②根据气候特点、土壤保水、植物需水、根系吸水等情况，适时适量浇水。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③根据植物生长需要和土壤肥力情况，规范作业，科学合理施肥。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④暴雨12小时后，无积水现象。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⑤树木根部周围的土壤应保持疏松。</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6B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①无科学合理的年度施肥计划，扣2分。未按照管理单位要求以及年度施肥计划实施的，每次或每处扣0.2分。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②出现缺水症状或缺肥症状，面积达到3%的，扣1分，每增加1%加扣1分。浇水施肥作业不专业，对植物有损害的，每次扣1分；出现肥害症状的，每次扣2分。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③暴雨12小时后有积水现象的，每处扣1分。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④树木根部周围土壤出现板结的，每株扣1分。</w:t>
            </w:r>
          </w:p>
        </w:tc>
      </w:tr>
      <w:tr w14:paraId="3444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CE5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一般性考核项目（80分）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C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植物养护状况(42分)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69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极端</w:t>
            </w:r>
          </w:p>
          <w:p w14:paraId="477FB0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天气</w:t>
            </w:r>
          </w:p>
          <w:p w14:paraId="0E91C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防控</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23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①根据管理单位要求，制定科学有效的极端天气（台风、暴雨、干旱、寒潮等）防控应急预案。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②发布极端天气预警时，应根据应急预案配齐配足人员、物资、设备等，采取相应措施，尽量减少损失。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③极端天气发生后，应迅速高效的投入救援力量，采取有效措施开展应急处置工作。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6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①无科学有效的极端天气（台风、暴雨、干旱、寒潮等）防控应急预案扣2分。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②发布极端天气预警时，未按应急预案和管理单位要求采取充分有效措施的，每次扣3分。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③极端天气发生后，应急抢险处置不够迅速有效，未在规定时间内完成应急抢险任务的，每次扣3分。</w:t>
            </w:r>
          </w:p>
        </w:tc>
      </w:tr>
      <w:tr w14:paraId="7F12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96B3">
            <w:pPr>
              <w:jc w:val="center"/>
              <w:rPr>
                <w:rFonts w:hint="eastAsia" w:ascii="宋体" w:hAnsi="宋体" w:eastAsia="宋体" w:cs="宋体"/>
                <w:b/>
                <w:bCs/>
                <w:i w:val="0"/>
                <w:iCs w:val="0"/>
                <w:color w:val="000000"/>
                <w:sz w:val="24"/>
                <w:szCs w:val="24"/>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4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绿地保洁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D5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绿地</w:t>
            </w:r>
          </w:p>
          <w:p w14:paraId="32487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w:t>
            </w:r>
          </w:p>
          <w:p w14:paraId="02EAB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0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①草坪及低矮地被等绿地，无影响观感和体验的落叶，无坠落枯枝。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②绿篱等灌木地被绿地内，无大型枯枝、表面无落叶、下层无沉积落叶。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③乔木上无悬挂的气球、塑料袋等白色垃圾。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④绿地整洁，无鼠洞和蚊蝇滋生地等。</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45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①草坪及低矮地被等绿地，有影响观感和体验的落叶、有坠落枯枝的，每处扣0.2分。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②绿篱等灌木地被绿地内，有大型枯枝、表面有落叶、下层沉积落叶的，每处扣0.2分。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③乔木上有悬挂的气球、塑料袋等白色垃圾的，每处扣0.2分。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④绿地有鼠洞、蚊蝇滋生地等且未采取有效措施的，每处扣0.2分。</w:t>
            </w:r>
          </w:p>
        </w:tc>
      </w:tr>
      <w:tr w14:paraId="7F4D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971E">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64D1">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5A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w:t>
            </w:r>
          </w:p>
          <w:p w14:paraId="290B7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垃圾与垃圾</w:t>
            </w:r>
          </w:p>
          <w:p w14:paraId="7D455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C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E9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开展绿化修剪、补植等工作时产生的作业垃圾应在作业当日完成清理，并按照垃圾分类相关规定实行分类运输到指定地点处理。</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EE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绿化作业垃圾当日未清理的，每处扣0.5分。未按照垃圾分类相关规定实行分类运输到指定地点处理，每次扣1分。</w:t>
            </w:r>
          </w:p>
        </w:tc>
      </w:tr>
      <w:tr w14:paraId="06B2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E362">
            <w:pPr>
              <w:jc w:val="center"/>
              <w:rPr>
                <w:rFonts w:hint="eastAsia" w:ascii="宋体" w:hAnsi="宋体" w:eastAsia="宋体" w:cs="宋体"/>
                <w:b/>
                <w:bCs/>
                <w:i w:val="0"/>
                <w:iCs w:val="0"/>
                <w:color w:val="000000"/>
                <w:sz w:val="24"/>
                <w:szCs w:val="24"/>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18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养护设施管理（8分）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2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w:t>
            </w:r>
          </w:p>
          <w:p w14:paraId="7F4C4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3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35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①对公园提供的养护设施应保持完好无损。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②随着树木的长大，应及时调整树木支撑设施与树干接触面的防护带、扣件、夹杆等，以免嵌入树皮内。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③绿化管养范围内养护设施存在安全隐患，或正在进行修复、更换时，应先对现场进行围闭，并设置警示标志。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65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①绿化管养范围内取水栓、滴管、喷头、草花护栏、护树架、种植槽、花盆、花缸等设施损坏，并未及时修复的，每处扣0.5分。如损坏不是养护原因造成的，不扣分。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②未及时调整树木支撑设施与树干接触面的防护带、扣件、夹杆等，而嵌入树皮内的，每处扣1分。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③对存在安全隐患养护设施，或正在进行修复、更换的现场，未进行现场围闭、设置警示标志的，每处扣1分。</w:t>
            </w:r>
          </w:p>
        </w:tc>
      </w:tr>
      <w:tr w14:paraId="7F82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8BBB">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E3C6">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4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p w14:paraId="41FD7A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w:t>
            </w:r>
          </w:p>
          <w:p w14:paraId="03F35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F3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对公园提供的其他基础设施应保持完好无损。</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8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因养护原因导致园路、广场铺装和树池等有破损或凹凸，并未及时修复的每处扣0.5分。</w:t>
            </w:r>
          </w:p>
        </w:tc>
      </w:tr>
      <w:tr w14:paraId="050D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2F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一般性考核项目（80分）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A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绿化安全（8分）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7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养护</w:t>
            </w:r>
          </w:p>
          <w:p w14:paraId="02A972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w:t>
            </w:r>
          </w:p>
          <w:p w14:paraId="7A9AF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52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①绿化修剪时应设置安全警戒线、警示牌等安全防护设施，高空作业时需使用安全带等防护措施，确保作业人员安全。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②施肥时操作人员应按规范操作，使用防护用品。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③使用农药时需严格按说明书进行稀释和喷洒，操作人员应规范使用防护用品，施药后需做好现场清理、工具清洗和剩余药品收纳。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④使用机械设备时，操作人员应具备相应操作资格，机械设备周围应设置警示标志，禁止无关人员靠近。</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FF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①绿化修剪时未设置安全警戒线、警示牌等安全防护设施，高空作业时未使用安全带等防护措施的，每次扣2分。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②施肥时，操作人员未按规范使用防护用品的，每次扣0.5分。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③使用农药时未严格按说明书进行稀释和喷洒的，每次扣1分，操作人员未按规范使用防护用品的，每次扣0.5分，施药后未做好现场清理、工具清洗和剩余药品收纳的，每次扣0.5分。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④使用机械设备时，操作人员不具备相应操作资格，每次扣1分，机械设备周围未设置警示标志的，每次扣0.5分。</w:t>
            </w:r>
          </w:p>
        </w:tc>
      </w:tr>
      <w:tr w14:paraId="02B8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D528">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F163">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A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w:t>
            </w:r>
          </w:p>
          <w:p w14:paraId="0E9E9A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隐患</w:t>
            </w:r>
          </w:p>
          <w:p w14:paraId="41853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F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4E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加强巡查，及时修剪断枝、折枝、枯枝、下垂枝、病虫枝等，及时清理绿地内及植物上铁丝、铁钉、缆线、地钉等，消除安全隐患。</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59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有断枝、折枝、枯枝、下垂枝、病虫枝等未及时修剪，具有安全隐患的，每处扣0.2分；临近道路、园路两侧、广场、儿童游乐等人流量大的区域的未及时修剪的断枝、折枝、枯枝、下垂枝、病虫枝等，每处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②绿地内及植物上有铁丝、铁钉、缆线、地钉等具有安全隐患的异物，每处扣0.2分。</w:t>
            </w:r>
          </w:p>
        </w:tc>
      </w:tr>
      <w:tr w14:paraId="045A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F7DD9">
            <w:pPr>
              <w:jc w:val="center"/>
              <w:rPr>
                <w:rFonts w:hint="eastAsia" w:ascii="宋体" w:hAnsi="宋体" w:eastAsia="宋体" w:cs="宋体"/>
                <w:b/>
                <w:bCs/>
                <w:i w:val="0"/>
                <w:iCs w:val="0"/>
                <w:color w:val="000000"/>
                <w:sz w:val="24"/>
                <w:szCs w:val="24"/>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C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养护档案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E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D0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完善的养护档案管理制度，并做好更新维护，记录养护作业全过程。养护档案主要包括：养护的植物种类清单、重点养护植物的养护要点及注意事项、养护计划、养护方案、月度苗木生长状况记录；每年开展一次全园苗木核验工作，对重点养护苗木变动情况做出说明；养护履约合同结束、新旧养护队伍交接时，配合公园管理单位做好全园苗木清单核验工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FC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①未建立养护档案管理制度的，扣5分；养护档案不完整或未按要求未及时更新的，每项扣1分。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②未按要求开展苗木核验工作的，扣5分。</w:t>
            </w:r>
          </w:p>
        </w:tc>
      </w:tr>
      <w:tr w14:paraId="29BA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064">
            <w:pPr>
              <w:jc w:val="center"/>
              <w:rPr>
                <w:rFonts w:hint="eastAsia" w:ascii="宋体" w:hAnsi="宋体" w:eastAsia="宋体" w:cs="宋体"/>
                <w:b/>
                <w:bCs/>
                <w:i w:val="0"/>
                <w:iCs w:val="0"/>
                <w:color w:val="000000"/>
                <w:sz w:val="24"/>
                <w:szCs w:val="24"/>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E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人机配备（4分）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9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w:t>
            </w:r>
          </w:p>
          <w:p w14:paraId="6AEDC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配备</w:t>
            </w:r>
          </w:p>
          <w:p w14:paraId="796B9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B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A5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根据招标文件要求，对绿化养护人员到位情况进行考核。</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E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到位总人数≤95%，扣1分；到位总人数＜90%，视为本月此项考核不合格，该项不得分（人数向上取整）。</w:t>
            </w:r>
          </w:p>
        </w:tc>
      </w:tr>
      <w:tr w14:paraId="4D44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A05F">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6460">
            <w:pPr>
              <w:jc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设施</w:t>
            </w:r>
          </w:p>
          <w:p w14:paraId="33580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w:t>
            </w:r>
          </w:p>
          <w:p w14:paraId="2C187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配备</w:t>
            </w:r>
          </w:p>
          <w:p w14:paraId="10ECC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8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根据招标文件和实际工作要求，对绿化养护单位的设施设备到位情况进行考核。</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B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①养护需要的农具、化肥、农药等消耗品，每项有缺失不足的情况，扣0.2分。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②车辆、打药机、割草机、油锯、绿篱机等设备，每次有缺失的情况，扣0.3分。</w:t>
            </w:r>
          </w:p>
        </w:tc>
      </w:tr>
      <w:tr w14:paraId="2535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8224">
            <w:pPr>
              <w:jc w:val="center"/>
              <w:rPr>
                <w:rFonts w:hint="eastAsia" w:ascii="宋体" w:hAnsi="宋体" w:eastAsia="宋体" w:cs="宋体"/>
                <w:b/>
                <w:bCs/>
                <w:i w:val="0"/>
                <w:iCs w:val="0"/>
                <w:color w:val="000000"/>
                <w:sz w:val="24"/>
                <w:szCs w:val="24"/>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14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12345诉求件及重要工作、重大活动保障（5分）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AB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积极协助办理12345市民诉求件，满足合理正当需求；协助做好重要工作、重大活动保障。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1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①对市民的合理诉求整改不及时、不到位的，每次扣2分；因工作推诿、拖拉造成重复投诉的，扣5分。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②重要工作、重大活动保障不力、突发事件处理不当，视情况每次扣3-5分。</w:t>
            </w:r>
          </w:p>
        </w:tc>
      </w:tr>
      <w:tr w14:paraId="4830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8"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BA5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特定考核项目（20）</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F3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古树名木、水生植物、立体绿化、当家 “花旦”等</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F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D8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公园依据自身实际，制定特定考核项目的养护质量标准及考核评分办法。特定考核项目，可包括以上一般性考核项目的未尽事项，也可由各公园结合自身区位、特点、植物种类及特色、特别事项等实际情况制定。</w:t>
            </w:r>
          </w:p>
        </w:tc>
      </w:tr>
      <w:tr w14:paraId="31AF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1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3F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76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6D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100分</w:t>
            </w:r>
          </w:p>
        </w:tc>
      </w:tr>
    </w:tbl>
    <w:p w14:paraId="6676984B">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Fonts w:hint="eastAsia" w:ascii="宋体" w:hAnsi="宋体" w:eastAsia="宋体" w:cs="宋体"/>
          <w:color w:val="auto"/>
          <w:sz w:val="24"/>
          <w:szCs w:val="24"/>
        </w:rPr>
      </w:pPr>
      <w:r>
        <w:rPr>
          <w:rStyle w:val="18"/>
          <w:rFonts w:hint="eastAsia" w:ascii="宋体" w:hAnsi="宋体" w:eastAsia="宋体" w:cs="宋体"/>
          <w:color w:val="auto"/>
          <w:sz w:val="28"/>
          <w:szCs w:val="28"/>
        </w:rPr>
        <w:t>附件2：</w:t>
      </w:r>
      <w:r>
        <w:rPr>
          <w:rStyle w:val="18"/>
          <w:rFonts w:hint="eastAsia" w:ascii="宋体" w:hAnsi="宋体" w:cs="宋体"/>
          <w:color w:val="auto"/>
          <w:sz w:val="28"/>
          <w:szCs w:val="28"/>
          <w:lang w:val="en-US" w:eastAsia="zh-CN"/>
        </w:rPr>
        <w:t xml:space="preserve">             </w:t>
      </w:r>
      <w:r>
        <w:rPr>
          <w:rStyle w:val="18"/>
          <w:rFonts w:hint="eastAsia" w:ascii="宋体" w:hAnsi="宋体" w:eastAsia="宋体" w:cs="宋体"/>
          <w:color w:val="auto"/>
          <w:sz w:val="28"/>
          <w:szCs w:val="28"/>
        </w:rPr>
        <w:t>闽江公园草花播种督查考核登记表</w:t>
      </w:r>
    </w:p>
    <w:tbl>
      <w:tblPr>
        <w:tblStyle w:val="15"/>
        <w:tblW w:w="4964"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152"/>
        <w:gridCol w:w="1189"/>
        <w:gridCol w:w="1868"/>
        <w:gridCol w:w="1670"/>
        <w:gridCol w:w="979"/>
        <w:gridCol w:w="1175"/>
      </w:tblGrid>
      <w:tr w14:paraId="6AC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0" w:hRule="atLeast"/>
          <w:tblCellSpacing w:w="15" w:type="dxa"/>
        </w:trPr>
        <w:tc>
          <w:tcPr>
            <w:tcW w:w="4970" w:type="pct"/>
            <w:gridSpan w:val="6"/>
            <w:shd w:val="clear" w:color="auto" w:fill="auto"/>
            <w:tcMar>
              <w:top w:w="80" w:type="dxa"/>
              <w:left w:w="80" w:type="dxa"/>
              <w:bottom w:w="80" w:type="dxa"/>
              <w:right w:w="80" w:type="dxa"/>
            </w:tcMar>
            <w:vAlign w:val="center"/>
          </w:tcPr>
          <w:p w14:paraId="69896FDC">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园区：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p>
        </w:tc>
      </w:tr>
      <w:tr w14:paraId="418B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shd w:val="clear" w:color="auto" w:fill="auto"/>
            <w:tcMar>
              <w:top w:w="80" w:type="dxa"/>
              <w:left w:w="80" w:type="dxa"/>
              <w:bottom w:w="80" w:type="dxa"/>
              <w:right w:w="80" w:type="dxa"/>
            </w:tcMar>
            <w:vAlign w:val="center"/>
          </w:tcPr>
          <w:p w14:paraId="5055ADE5">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585" w:type="pct"/>
            <w:shd w:val="clear" w:color="auto" w:fill="auto"/>
            <w:tcMar>
              <w:top w:w="80" w:type="dxa"/>
              <w:left w:w="80" w:type="dxa"/>
              <w:bottom w:w="80" w:type="dxa"/>
              <w:right w:w="80" w:type="dxa"/>
            </w:tcMar>
            <w:vAlign w:val="center"/>
          </w:tcPr>
          <w:p w14:paraId="3707D9F2">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标准分</w:t>
            </w:r>
          </w:p>
        </w:tc>
        <w:tc>
          <w:tcPr>
            <w:tcW w:w="1768" w:type="pct"/>
            <w:gridSpan w:val="2"/>
            <w:shd w:val="clear" w:color="auto" w:fill="auto"/>
            <w:tcMar>
              <w:top w:w="80" w:type="dxa"/>
              <w:left w:w="80" w:type="dxa"/>
              <w:bottom w:w="80" w:type="dxa"/>
              <w:right w:w="80" w:type="dxa"/>
            </w:tcMar>
            <w:vAlign w:val="center"/>
          </w:tcPr>
          <w:p w14:paraId="1BFB8EC7">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草花播种质量标准</w:t>
            </w:r>
          </w:p>
        </w:tc>
        <w:tc>
          <w:tcPr>
            <w:tcW w:w="479" w:type="pct"/>
            <w:shd w:val="clear" w:color="auto" w:fill="auto"/>
            <w:tcMar>
              <w:top w:w="80" w:type="dxa"/>
              <w:left w:w="80" w:type="dxa"/>
              <w:bottom w:w="80" w:type="dxa"/>
              <w:right w:w="80" w:type="dxa"/>
            </w:tcMar>
            <w:vAlign w:val="center"/>
          </w:tcPr>
          <w:p w14:paraId="4D677185">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508" w:type="pct"/>
            <w:shd w:val="clear" w:color="auto" w:fill="auto"/>
            <w:tcMar>
              <w:top w:w="80" w:type="dxa"/>
              <w:left w:w="80" w:type="dxa"/>
              <w:bottom w:w="80" w:type="dxa"/>
              <w:right w:w="80" w:type="dxa"/>
            </w:tcMar>
            <w:vAlign w:val="center"/>
          </w:tcPr>
          <w:p w14:paraId="12754AA4">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1B6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vMerge w:val="restart"/>
            <w:shd w:val="clear" w:color="auto" w:fill="auto"/>
            <w:tcMar>
              <w:top w:w="80" w:type="dxa"/>
              <w:left w:w="80" w:type="dxa"/>
              <w:bottom w:w="80" w:type="dxa"/>
              <w:right w:w="80" w:type="dxa"/>
            </w:tcMar>
            <w:vAlign w:val="center"/>
          </w:tcPr>
          <w:p w14:paraId="7591FCBF">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草花播种管理(80分)</w:t>
            </w:r>
          </w:p>
        </w:tc>
        <w:tc>
          <w:tcPr>
            <w:tcW w:w="585" w:type="pct"/>
            <w:shd w:val="clear" w:color="auto" w:fill="auto"/>
            <w:tcMar>
              <w:top w:w="80" w:type="dxa"/>
              <w:left w:w="80" w:type="dxa"/>
              <w:bottom w:w="80" w:type="dxa"/>
              <w:right w:w="80" w:type="dxa"/>
            </w:tcMar>
            <w:vAlign w:val="center"/>
          </w:tcPr>
          <w:p w14:paraId="26001DA5">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68" w:type="pct"/>
            <w:gridSpan w:val="2"/>
            <w:shd w:val="clear" w:color="auto" w:fill="auto"/>
            <w:tcMar>
              <w:top w:w="80" w:type="dxa"/>
              <w:left w:w="80" w:type="dxa"/>
              <w:bottom w:w="80" w:type="dxa"/>
              <w:right w:w="80" w:type="dxa"/>
            </w:tcMar>
            <w:vAlign w:val="center"/>
          </w:tcPr>
          <w:p w14:paraId="0BB59D36">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正式播种前进行试播，并形成试播对比；</w:t>
            </w:r>
          </w:p>
        </w:tc>
        <w:tc>
          <w:tcPr>
            <w:tcW w:w="479" w:type="pct"/>
            <w:shd w:val="clear" w:color="auto" w:fill="auto"/>
            <w:tcMar>
              <w:top w:w="80" w:type="dxa"/>
              <w:left w:w="80" w:type="dxa"/>
              <w:bottom w:w="80" w:type="dxa"/>
              <w:right w:w="80" w:type="dxa"/>
            </w:tcMar>
            <w:vAlign w:val="bottom"/>
          </w:tcPr>
          <w:p w14:paraId="5813ACFB">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0CD183F6">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1BF9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vMerge w:val="continue"/>
            <w:shd w:val="clear" w:color="auto" w:fill="auto"/>
            <w:tcMar>
              <w:top w:w="80" w:type="dxa"/>
              <w:left w:w="80" w:type="dxa"/>
              <w:bottom w:w="80" w:type="dxa"/>
              <w:right w:w="80" w:type="dxa"/>
            </w:tcMar>
            <w:vAlign w:val="center"/>
          </w:tcPr>
          <w:p w14:paraId="7DA23D29">
            <w:pPr>
              <w:keepNext w:val="0"/>
              <w:keepLines w:val="0"/>
              <w:pageBreakBefore w:val="0"/>
              <w:kinsoku/>
              <w:overflowPunct/>
              <w:topLinePunct w:val="0"/>
              <w:autoSpaceDE/>
              <w:autoSpaceDN/>
              <w:bidi w:val="0"/>
              <w:adjustRightInd/>
              <w:snapToGrid/>
              <w:spacing w:before="0" w:beforeLines="0" w:beforeAutospacing="0" w:after="0" w:afterLines="0" w:afterAutospacing="0" w:line="360" w:lineRule="atLeast"/>
              <w:ind w:left="0" w:leftChars="0" w:firstLine="658"/>
              <w:textAlignment w:val="baseline"/>
              <w:rPr>
                <w:rFonts w:hint="eastAsia" w:ascii="宋体" w:hAnsi="宋体" w:eastAsia="宋体" w:cs="宋体"/>
                <w:color w:val="auto"/>
                <w:sz w:val="24"/>
                <w:szCs w:val="24"/>
              </w:rPr>
            </w:pPr>
          </w:p>
        </w:tc>
        <w:tc>
          <w:tcPr>
            <w:tcW w:w="585" w:type="pct"/>
            <w:shd w:val="clear" w:color="auto" w:fill="auto"/>
            <w:tcMar>
              <w:top w:w="80" w:type="dxa"/>
              <w:left w:w="80" w:type="dxa"/>
              <w:bottom w:w="80" w:type="dxa"/>
              <w:right w:w="80" w:type="dxa"/>
            </w:tcMar>
            <w:vAlign w:val="center"/>
          </w:tcPr>
          <w:p w14:paraId="575A3E10">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right="0" w:righ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68" w:type="pct"/>
            <w:gridSpan w:val="2"/>
            <w:shd w:val="clear" w:color="auto" w:fill="auto"/>
            <w:tcMar>
              <w:top w:w="80" w:type="dxa"/>
              <w:left w:w="80" w:type="dxa"/>
              <w:bottom w:w="80" w:type="dxa"/>
              <w:right w:w="80" w:type="dxa"/>
            </w:tcMar>
            <w:vAlign w:val="center"/>
          </w:tcPr>
          <w:p w14:paraId="15669E76">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播种区域翻地、松土效果；</w:t>
            </w:r>
          </w:p>
        </w:tc>
        <w:tc>
          <w:tcPr>
            <w:tcW w:w="479" w:type="pct"/>
            <w:shd w:val="clear" w:color="auto" w:fill="auto"/>
            <w:tcMar>
              <w:top w:w="80" w:type="dxa"/>
              <w:left w:w="80" w:type="dxa"/>
              <w:bottom w:w="80" w:type="dxa"/>
              <w:right w:w="80" w:type="dxa"/>
            </w:tcMar>
            <w:vAlign w:val="bottom"/>
          </w:tcPr>
          <w:p w14:paraId="3500A95F">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618B62F5">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5549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tblCellSpacing w:w="15" w:type="dxa"/>
        </w:trPr>
        <w:tc>
          <w:tcPr>
            <w:tcW w:w="1568" w:type="pct"/>
            <w:vMerge w:val="continue"/>
            <w:shd w:val="clear" w:color="auto" w:fill="auto"/>
            <w:tcMar>
              <w:top w:w="80" w:type="dxa"/>
              <w:left w:w="80" w:type="dxa"/>
              <w:bottom w:w="80" w:type="dxa"/>
              <w:right w:w="80" w:type="dxa"/>
            </w:tcMar>
            <w:vAlign w:val="center"/>
          </w:tcPr>
          <w:p w14:paraId="74E5C82C">
            <w:pPr>
              <w:keepNext w:val="0"/>
              <w:keepLines w:val="0"/>
              <w:pageBreakBefore w:val="0"/>
              <w:kinsoku/>
              <w:overflowPunct/>
              <w:topLinePunct w:val="0"/>
              <w:autoSpaceDE/>
              <w:autoSpaceDN/>
              <w:bidi w:val="0"/>
              <w:adjustRightInd/>
              <w:snapToGrid/>
              <w:spacing w:before="0" w:beforeLines="0" w:beforeAutospacing="0" w:after="0" w:afterLines="0" w:afterAutospacing="0" w:line="360" w:lineRule="atLeast"/>
              <w:ind w:left="0" w:leftChars="0" w:firstLine="658"/>
              <w:textAlignment w:val="baseline"/>
              <w:rPr>
                <w:rFonts w:hint="eastAsia" w:ascii="宋体" w:hAnsi="宋体" w:eastAsia="宋体" w:cs="宋体"/>
                <w:color w:val="auto"/>
                <w:sz w:val="24"/>
                <w:szCs w:val="24"/>
              </w:rPr>
            </w:pPr>
          </w:p>
        </w:tc>
        <w:tc>
          <w:tcPr>
            <w:tcW w:w="585" w:type="pct"/>
            <w:shd w:val="clear" w:color="auto" w:fill="auto"/>
            <w:tcMar>
              <w:top w:w="80" w:type="dxa"/>
              <w:left w:w="80" w:type="dxa"/>
              <w:bottom w:w="80" w:type="dxa"/>
              <w:right w:w="80" w:type="dxa"/>
            </w:tcMar>
            <w:vAlign w:val="center"/>
          </w:tcPr>
          <w:p w14:paraId="4EDF9150">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right="0" w:righ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68" w:type="pct"/>
            <w:gridSpan w:val="2"/>
            <w:shd w:val="clear" w:color="auto" w:fill="auto"/>
            <w:tcMar>
              <w:top w:w="80" w:type="dxa"/>
              <w:left w:w="80" w:type="dxa"/>
              <w:bottom w:w="80" w:type="dxa"/>
              <w:right w:w="80" w:type="dxa"/>
            </w:tcMar>
            <w:vAlign w:val="center"/>
          </w:tcPr>
          <w:p w14:paraId="56933005">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播种区域土壤消毒效果；</w:t>
            </w:r>
          </w:p>
        </w:tc>
        <w:tc>
          <w:tcPr>
            <w:tcW w:w="479" w:type="pct"/>
            <w:shd w:val="clear" w:color="auto" w:fill="auto"/>
            <w:tcMar>
              <w:top w:w="80" w:type="dxa"/>
              <w:left w:w="80" w:type="dxa"/>
              <w:bottom w:w="80" w:type="dxa"/>
              <w:right w:w="80" w:type="dxa"/>
            </w:tcMar>
            <w:vAlign w:val="bottom"/>
          </w:tcPr>
          <w:p w14:paraId="6B6E47F7">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3D3779EB">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614B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vMerge w:val="continue"/>
            <w:shd w:val="clear" w:color="auto" w:fill="auto"/>
            <w:tcMar>
              <w:top w:w="80" w:type="dxa"/>
              <w:left w:w="80" w:type="dxa"/>
              <w:bottom w:w="80" w:type="dxa"/>
              <w:right w:w="80" w:type="dxa"/>
            </w:tcMar>
            <w:vAlign w:val="center"/>
          </w:tcPr>
          <w:p w14:paraId="635B5174">
            <w:pPr>
              <w:keepNext w:val="0"/>
              <w:keepLines w:val="0"/>
              <w:pageBreakBefore w:val="0"/>
              <w:kinsoku/>
              <w:overflowPunct/>
              <w:topLinePunct w:val="0"/>
              <w:autoSpaceDE/>
              <w:autoSpaceDN/>
              <w:bidi w:val="0"/>
              <w:adjustRightInd/>
              <w:snapToGrid/>
              <w:spacing w:before="0" w:beforeLines="0" w:beforeAutospacing="0" w:after="0" w:afterLines="0" w:afterAutospacing="0" w:line="360" w:lineRule="atLeast"/>
              <w:ind w:left="0" w:leftChars="0" w:firstLine="658"/>
              <w:textAlignment w:val="baseline"/>
              <w:rPr>
                <w:rFonts w:hint="eastAsia" w:ascii="宋体" w:hAnsi="宋体" w:eastAsia="宋体" w:cs="宋体"/>
                <w:color w:val="auto"/>
                <w:sz w:val="24"/>
                <w:szCs w:val="24"/>
              </w:rPr>
            </w:pPr>
          </w:p>
        </w:tc>
        <w:tc>
          <w:tcPr>
            <w:tcW w:w="585" w:type="pct"/>
            <w:shd w:val="clear" w:color="auto" w:fill="auto"/>
            <w:tcMar>
              <w:top w:w="80" w:type="dxa"/>
              <w:left w:w="80" w:type="dxa"/>
              <w:bottom w:w="80" w:type="dxa"/>
              <w:right w:w="80" w:type="dxa"/>
            </w:tcMar>
            <w:vAlign w:val="center"/>
          </w:tcPr>
          <w:p w14:paraId="43504379">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768" w:type="pct"/>
            <w:gridSpan w:val="2"/>
            <w:shd w:val="clear" w:color="auto" w:fill="auto"/>
            <w:tcMar>
              <w:top w:w="80" w:type="dxa"/>
              <w:left w:w="80" w:type="dxa"/>
              <w:bottom w:w="80" w:type="dxa"/>
              <w:right w:w="80" w:type="dxa"/>
            </w:tcMar>
            <w:vAlign w:val="center"/>
          </w:tcPr>
          <w:p w14:paraId="5D9E10AF">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清理播种区内杂草或上一茬残花；</w:t>
            </w:r>
          </w:p>
        </w:tc>
        <w:tc>
          <w:tcPr>
            <w:tcW w:w="479" w:type="pct"/>
            <w:shd w:val="clear" w:color="auto" w:fill="auto"/>
            <w:tcMar>
              <w:top w:w="80" w:type="dxa"/>
              <w:left w:w="80" w:type="dxa"/>
              <w:bottom w:w="80" w:type="dxa"/>
              <w:right w:w="80" w:type="dxa"/>
            </w:tcMar>
            <w:vAlign w:val="bottom"/>
          </w:tcPr>
          <w:p w14:paraId="64475E3A">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5521C3B0">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5BF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vMerge w:val="continue"/>
            <w:shd w:val="clear" w:color="auto" w:fill="auto"/>
            <w:tcMar>
              <w:top w:w="80" w:type="dxa"/>
              <w:left w:w="80" w:type="dxa"/>
              <w:bottom w:w="80" w:type="dxa"/>
              <w:right w:w="80" w:type="dxa"/>
            </w:tcMar>
            <w:vAlign w:val="center"/>
          </w:tcPr>
          <w:p w14:paraId="6BDB9935">
            <w:pPr>
              <w:keepNext w:val="0"/>
              <w:keepLines w:val="0"/>
              <w:pageBreakBefore w:val="0"/>
              <w:kinsoku/>
              <w:overflowPunct/>
              <w:topLinePunct w:val="0"/>
              <w:autoSpaceDE/>
              <w:autoSpaceDN/>
              <w:bidi w:val="0"/>
              <w:adjustRightInd/>
              <w:snapToGrid/>
              <w:spacing w:before="0" w:beforeLines="0" w:beforeAutospacing="0" w:after="0" w:afterLines="0" w:afterAutospacing="0" w:line="360" w:lineRule="atLeast"/>
              <w:ind w:left="0" w:leftChars="0" w:firstLine="658"/>
              <w:textAlignment w:val="baseline"/>
              <w:rPr>
                <w:rFonts w:hint="eastAsia" w:ascii="宋体" w:hAnsi="宋体" w:eastAsia="宋体" w:cs="宋体"/>
                <w:color w:val="auto"/>
                <w:sz w:val="24"/>
                <w:szCs w:val="24"/>
              </w:rPr>
            </w:pPr>
          </w:p>
        </w:tc>
        <w:tc>
          <w:tcPr>
            <w:tcW w:w="585" w:type="pct"/>
            <w:shd w:val="clear" w:color="auto" w:fill="auto"/>
            <w:tcMar>
              <w:top w:w="80" w:type="dxa"/>
              <w:left w:w="80" w:type="dxa"/>
              <w:bottom w:w="80" w:type="dxa"/>
              <w:right w:w="80" w:type="dxa"/>
            </w:tcMar>
            <w:vAlign w:val="center"/>
          </w:tcPr>
          <w:p w14:paraId="5261B0BE">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68" w:type="pct"/>
            <w:gridSpan w:val="2"/>
            <w:shd w:val="clear" w:color="auto" w:fill="auto"/>
            <w:tcMar>
              <w:top w:w="80" w:type="dxa"/>
              <w:left w:w="80" w:type="dxa"/>
              <w:bottom w:w="80" w:type="dxa"/>
              <w:right w:w="80" w:type="dxa"/>
            </w:tcMar>
            <w:vAlign w:val="center"/>
          </w:tcPr>
          <w:p w14:paraId="59B195B9">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水肥管理工作效果</w:t>
            </w:r>
          </w:p>
        </w:tc>
        <w:tc>
          <w:tcPr>
            <w:tcW w:w="479" w:type="pct"/>
            <w:shd w:val="clear" w:color="auto" w:fill="auto"/>
            <w:tcMar>
              <w:top w:w="80" w:type="dxa"/>
              <w:left w:w="80" w:type="dxa"/>
              <w:bottom w:w="80" w:type="dxa"/>
              <w:right w:w="80" w:type="dxa"/>
            </w:tcMar>
            <w:vAlign w:val="bottom"/>
          </w:tcPr>
          <w:p w14:paraId="0A7D6C68">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19A1937B">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5951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vMerge w:val="continue"/>
            <w:shd w:val="clear" w:color="auto" w:fill="auto"/>
            <w:tcMar>
              <w:top w:w="80" w:type="dxa"/>
              <w:left w:w="80" w:type="dxa"/>
              <w:bottom w:w="80" w:type="dxa"/>
              <w:right w:w="80" w:type="dxa"/>
            </w:tcMar>
            <w:vAlign w:val="center"/>
          </w:tcPr>
          <w:p w14:paraId="408D6280">
            <w:pPr>
              <w:keepNext w:val="0"/>
              <w:keepLines w:val="0"/>
              <w:pageBreakBefore w:val="0"/>
              <w:kinsoku/>
              <w:overflowPunct/>
              <w:topLinePunct w:val="0"/>
              <w:autoSpaceDE/>
              <w:autoSpaceDN/>
              <w:bidi w:val="0"/>
              <w:adjustRightInd/>
              <w:snapToGrid/>
              <w:spacing w:before="0" w:beforeLines="0" w:beforeAutospacing="0" w:after="0" w:afterLines="0" w:afterAutospacing="0" w:line="360" w:lineRule="atLeast"/>
              <w:ind w:left="0" w:leftChars="0" w:firstLine="658"/>
              <w:textAlignment w:val="baseline"/>
              <w:rPr>
                <w:rFonts w:hint="eastAsia" w:ascii="宋体" w:hAnsi="宋体" w:eastAsia="宋体" w:cs="宋体"/>
                <w:color w:val="auto"/>
                <w:sz w:val="24"/>
                <w:szCs w:val="24"/>
              </w:rPr>
            </w:pPr>
          </w:p>
        </w:tc>
        <w:tc>
          <w:tcPr>
            <w:tcW w:w="585" w:type="pct"/>
            <w:shd w:val="clear" w:color="auto" w:fill="auto"/>
            <w:tcMar>
              <w:top w:w="80" w:type="dxa"/>
              <w:left w:w="80" w:type="dxa"/>
              <w:bottom w:w="80" w:type="dxa"/>
              <w:right w:w="80" w:type="dxa"/>
            </w:tcMar>
            <w:vAlign w:val="center"/>
          </w:tcPr>
          <w:p w14:paraId="4101A0A4">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68" w:type="pct"/>
            <w:gridSpan w:val="2"/>
            <w:shd w:val="clear" w:color="auto" w:fill="auto"/>
            <w:tcMar>
              <w:top w:w="80" w:type="dxa"/>
              <w:left w:w="80" w:type="dxa"/>
              <w:bottom w:w="80" w:type="dxa"/>
              <w:right w:w="80" w:type="dxa"/>
            </w:tcMar>
            <w:vAlign w:val="center"/>
          </w:tcPr>
          <w:p w14:paraId="49EE80AF">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病虫害防治效果</w:t>
            </w:r>
          </w:p>
        </w:tc>
        <w:tc>
          <w:tcPr>
            <w:tcW w:w="479" w:type="pct"/>
            <w:shd w:val="clear" w:color="auto" w:fill="auto"/>
            <w:tcMar>
              <w:top w:w="80" w:type="dxa"/>
              <w:left w:w="80" w:type="dxa"/>
              <w:bottom w:w="80" w:type="dxa"/>
              <w:right w:w="80" w:type="dxa"/>
            </w:tcMar>
            <w:vAlign w:val="bottom"/>
          </w:tcPr>
          <w:p w14:paraId="6CC30F33">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4F83464A">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13D3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shd w:val="clear" w:color="auto" w:fill="auto"/>
            <w:tcMar>
              <w:top w:w="80" w:type="dxa"/>
              <w:left w:w="80" w:type="dxa"/>
              <w:bottom w:w="80" w:type="dxa"/>
              <w:right w:w="80" w:type="dxa"/>
            </w:tcMar>
            <w:vAlign w:val="center"/>
          </w:tcPr>
          <w:p w14:paraId="28395944">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设施管理(10分)</w:t>
            </w:r>
          </w:p>
        </w:tc>
        <w:tc>
          <w:tcPr>
            <w:tcW w:w="585" w:type="pct"/>
            <w:shd w:val="clear" w:color="auto" w:fill="auto"/>
            <w:tcMar>
              <w:top w:w="80" w:type="dxa"/>
              <w:left w:w="80" w:type="dxa"/>
              <w:bottom w:w="80" w:type="dxa"/>
              <w:right w:w="80" w:type="dxa"/>
            </w:tcMar>
            <w:vAlign w:val="center"/>
          </w:tcPr>
          <w:p w14:paraId="60A63705">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68" w:type="pct"/>
            <w:gridSpan w:val="2"/>
            <w:shd w:val="clear" w:color="auto" w:fill="auto"/>
            <w:tcMar>
              <w:top w:w="80" w:type="dxa"/>
              <w:left w:w="80" w:type="dxa"/>
              <w:bottom w:w="80" w:type="dxa"/>
              <w:right w:w="80" w:type="dxa"/>
            </w:tcMar>
            <w:vAlign w:val="center"/>
          </w:tcPr>
          <w:p w14:paraId="000A2F2E">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草花播种浇水设施管理、石沟清理效果</w:t>
            </w:r>
          </w:p>
        </w:tc>
        <w:tc>
          <w:tcPr>
            <w:tcW w:w="479" w:type="pct"/>
            <w:shd w:val="clear" w:color="auto" w:fill="auto"/>
            <w:tcMar>
              <w:top w:w="80" w:type="dxa"/>
              <w:left w:w="80" w:type="dxa"/>
              <w:bottom w:w="80" w:type="dxa"/>
              <w:right w:w="80" w:type="dxa"/>
            </w:tcMar>
            <w:vAlign w:val="bottom"/>
          </w:tcPr>
          <w:p w14:paraId="54BA0FD9">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4B98D09C">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730A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tblCellSpacing w:w="15" w:type="dxa"/>
        </w:trPr>
        <w:tc>
          <w:tcPr>
            <w:tcW w:w="1568" w:type="pct"/>
            <w:vMerge w:val="restart"/>
            <w:shd w:val="clear" w:color="auto" w:fill="auto"/>
            <w:tcMar>
              <w:top w:w="80" w:type="dxa"/>
              <w:left w:w="80" w:type="dxa"/>
              <w:bottom w:w="80" w:type="dxa"/>
              <w:right w:w="80" w:type="dxa"/>
            </w:tcMar>
            <w:vAlign w:val="center"/>
          </w:tcPr>
          <w:p w14:paraId="6D435FC6">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作业规范管理(10分)</w:t>
            </w:r>
          </w:p>
        </w:tc>
        <w:tc>
          <w:tcPr>
            <w:tcW w:w="585" w:type="pct"/>
            <w:shd w:val="clear" w:color="auto" w:fill="auto"/>
            <w:tcMar>
              <w:top w:w="80" w:type="dxa"/>
              <w:left w:w="80" w:type="dxa"/>
              <w:bottom w:w="80" w:type="dxa"/>
              <w:right w:w="80" w:type="dxa"/>
            </w:tcMar>
            <w:vAlign w:val="center"/>
          </w:tcPr>
          <w:p w14:paraId="53C0DF6F">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68" w:type="pct"/>
            <w:gridSpan w:val="2"/>
            <w:shd w:val="clear" w:color="auto" w:fill="auto"/>
            <w:tcMar>
              <w:top w:w="80" w:type="dxa"/>
              <w:left w:w="80" w:type="dxa"/>
              <w:bottom w:w="80" w:type="dxa"/>
              <w:right w:w="80" w:type="dxa"/>
            </w:tcMar>
            <w:vAlign w:val="center"/>
          </w:tcPr>
          <w:p w14:paraId="595BFBFD">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花期计划合理性</w:t>
            </w:r>
          </w:p>
        </w:tc>
        <w:tc>
          <w:tcPr>
            <w:tcW w:w="479" w:type="pct"/>
            <w:shd w:val="clear" w:color="auto" w:fill="auto"/>
            <w:tcMar>
              <w:top w:w="80" w:type="dxa"/>
              <w:left w:w="80" w:type="dxa"/>
              <w:bottom w:w="80" w:type="dxa"/>
              <w:right w:w="80" w:type="dxa"/>
            </w:tcMar>
            <w:vAlign w:val="bottom"/>
          </w:tcPr>
          <w:p w14:paraId="3A7CA832">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21781A42">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744A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vMerge w:val="continue"/>
            <w:shd w:val="clear" w:color="auto" w:fill="auto"/>
            <w:tcMar>
              <w:top w:w="80" w:type="dxa"/>
              <w:left w:w="80" w:type="dxa"/>
              <w:bottom w:w="80" w:type="dxa"/>
              <w:right w:w="80" w:type="dxa"/>
            </w:tcMar>
            <w:vAlign w:val="center"/>
          </w:tcPr>
          <w:p w14:paraId="43DCA3FA">
            <w:pPr>
              <w:keepNext w:val="0"/>
              <w:keepLines w:val="0"/>
              <w:pageBreakBefore w:val="0"/>
              <w:kinsoku/>
              <w:overflowPunct/>
              <w:topLinePunct w:val="0"/>
              <w:autoSpaceDE/>
              <w:autoSpaceDN/>
              <w:bidi w:val="0"/>
              <w:adjustRightInd/>
              <w:snapToGrid/>
              <w:spacing w:before="0" w:beforeLines="0" w:beforeAutospacing="0" w:after="0" w:afterLines="0" w:afterAutospacing="0" w:line="360" w:lineRule="atLeast"/>
              <w:ind w:left="0" w:leftChars="0" w:firstLine="658"/>
              <w:textAlignment w:val="baseline"/>
              <w:rPr>
                <w:rFonts w:hint="eastAsia" w:ascii="宋体" w:hAnsi="宋体" w:eastAsia="宋体" w:cs="宋体"/>
                <w:color w:val="auto"/>
                <w:sz w:val="24"/>
                <w:szCs w:val="24"/>
              </w:rPr>
            </w:pPr>
          </w:p>
        </w:tc>
        <w:tc>
          <w:tcPr>
            <w:tcW w:w="585" w:type="pct"/>
            <w:shd w:val="clear" w:color="auto" w:fill="auto"/>
            <w:tcMar>
              <w:top w:w="80" w:type="dxa"/>
              <w:left w:w="80" w:type="dxa"/>
              <w:bottom w:w="80" w:type="dxa"/>
              <w:right w:w="80" w:type="dxa"/>
            </w:tcMar>
            <w:vAlign w:val="center"/>
          </w:tcPr>
          <w:p w14:paraId="36098B3A">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68" w:type="pct"/>
            <w:gridSpan w:val="2"/>
            <w:shd w:val="clear" w:color="auto" w:fill="auto"/>
            <w:tcMar>
              <w:top w:w="80" w:type="dxa"/>
              <w:left w:w="80" w:type="dxa"/>
              <w:bottom w:w="80" w:type="dxa"/>
              <w:right w:w="80" w:type="dxa"/>
            </w:tcMar>
            <w:vAlign w:val="center"/>
          </w:tcPr>
          <w:p w14:paraId="3B0C8390">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植株生长良好、达到预期效果</w:t>
            </w:r>
          </w:p>
        </w:tc>
        <w:tc>
          <w:tcPr>
            <w:tcW w:w="479" w:type="pct"/>
            <w:shd w:val="clear" w:color="auto" w:fill="auto"/>
            <w:tcMar>
              <w:top w:w="80" w:type="dxa"/>
              <w:left w:w="80" w:type="dxa"/>
              <w:bottom w:w="80" w:type="dxa"/>
              <w:right w:w="80" w:type="dxa"/>
            </w:tcMar>
            <w:vAlign w:val="bottom"/>
          </w:tcPr>
          <w:p w14:paraId="5F4289B8">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6EF58464">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02E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0" w:hRule="atLeast"/>
          <w:tblCellSpacing w:w="15" w:type="dxa"/>
        </w:trPr>
        <w:tc>
          <w:tcPr>
            <w:tcW w:w="1568" w:type="pct"/>
            <w:shd w:val="clear" w:color="auto" w:fill="auto"/>
            <w:tcMar>
              <w:top w:w="80" w:type="dxa"/>
              <w:left w:w="80" w:type="dxa"/>
              <w:bottom w:w="80" w:type="dxa"/>
              <w:right w:w="80" w:type="dxa"/>
            </w:tcMar>
            <w:vAlign w:val="center"/>
          </w:tcPr>
          <w:p w14:paraId="0E2F001B">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总分（100分）</w:t>
            </w:r>
          </w:p>
        </w:tc>
        <w:tc>
          <w:tcPr>
            <w:tcW w:w="585" w:type="pct"/>
            <w:shd w:val="clear" w:color="auto" w:fill="auto"/>
            <w:tcMar>
              <w:top w:w="80" w:type="dxa"/>
              <w:left w:w="80" w:type="dxa"/>
              <w:bottom w:w="80" w:type="dxa"/>
              <w:right w:w="80" w:type="dxa"/>
            </w:tcMar>
            <w:vAlign w:val="center"/>
          </w:tcPr>
          <w:p w14:paraId="74458291">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center"/>
              <w:textAlignment w:val="baseline"/>
              <w:rPr>
                <w:rFonts w:hint="default" w:ascii="宋体" w:hAnsi="宋体" w:eastAsia="宋体" w:cs="宋体"/>
                <w:color w:val="auto"/>
                <w:sz w:val="24"/>
                <w:szCs w:val="24"/>
                <w:lang w:val="en-US" w:eastAsia="zh-CN"/>
              </w:rPr>
            </w:pPr>
          </w:p>
        </w:tc>
        <w:tc>
          <w:tcPr>
            <w:tcW w:w="1768" w:type="pct"/>
            <w:gridSpan w:val="2"/>
            <w:shd w:val="clear" w:color="auto" w:fill="auto"/>
            <w:tcMar>
              <w:top w:w="80" w:type="dxa"/>
              <w:left w:w="80" w:type="dxa"/>
              <w:bottom w:w="80" w:type="dxa"/>
              <w:right w:w="80" w:type="dxa"/>
            </w:tcMar>
            <w:vAlign w:val="center"/>
          </w:tcPr>
          <w:p w14:paraId="24DB6B41">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479" w:type="pct"/>
            <w:shd w:val="clear" w:color="auto" w:fill="auto"/>
            <w:tcMar>
              <w:top w:w="80" w:type="dxa"/>
              <w:left w:w="80" w:type="dxa"/>
              <w:bottom w:w="80" w:type="dxa"/>
              <w:right w:w="80" w:type="dxa"/>
            </w:tcMar>
            <w:vAlign w:val="bottom"/>
          </w:tcPr>
          <w:p w14:paraId="7B98B72F">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c>
          <w:tcPr>
            <w:tcW w:w="508" w:type="pct"/>
            <w:shd w:val="clear" w:color="auto" w:fill="auto"/>
            <w:tcMar>
              <w:top w:w="80" w:type="dxa"/>
              <w:left w:w="80" w:type="dxa"/>
              <w:bottom w:w="80" w:type="dxa"/>
              <w:right w:w="80" w:type="dxa"/>
            </w:tcMar>
            <w:vAlign w:val="bottom"/>
          </w:tcPr>
          <w:p w14:paraId="4D263883">
            <w:pPr>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658"/>
              <w:jc w:val="left"/>
              <w:textAlignment w:val="baseline"/>
              <w:rPr>
                <w:rFonts w:hint="eastAsia" w:ascii="宋体" w:hAnsi="宋体" w:eastAsia="宋体" w:cs="宋体"/>
                <w:color w:val="auto"/>
                <w:sz w:val="24"/>
                <w:szCs w:val="24"/>
              </w:rPr>
            </w:pPr>
          </w:p>
        </w:tc>
      </w:tr>
      <w:tr w14:paraId="3B25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0" w:hRule="atLeast"/>
          <w:tblCellSpacing w:w="15" w:type="dxa"/>
        </w:trPr>
        <w:tc>
          <w:tcPr>
            <w:tcW w:w="3088" w:type="pct"/>
            <w:gridSpan w:val="3"/>
            <w:shd w:val="clear" w:color="auto" w:fill="auto"/>
            <w:tcMar>
              <w:top w:w="80" w:type="dxa"/>
              <w:left w:w="80" w:type="dxa"/>
              <w:bottom w:w="80" w:type="dxa"/>
              <w:right w:w="80" w:type="dxa"/>
            </w:tcMar>
            <w:vAlign w:val="top"/>
          </w:tcPr>
          <w:p w14:paraId="147CA8BD">
            <w:pPr>
              <w:pStyle w:val="12"/>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甲方考核组成员签字：   </w:t>
            </w:r>
          </w:p>
        </w:tc>
        <w:tc>
          <w:tcPr>
            <w:tcW w:w="1866" w:type="pct"/>
            <w:gridSpan w:val="3"/>
            <w:shd w:val="clear" w:color="auto" w:fill="auto"/>
            <w:tcMar>
              <w:top w:w="80" w:type="dxa"/>
              <w:left w:w="80" w:type="dxa"/>
              <w:bottom w:w="80" w:type="dxa"/>
              <w:right w:w="80" w:type="dxa"/>
            </w:tcMar>
            <w:vAlign w:val="top"/>
          </w:tcPr>
          <w:p w14:paraId="56AA5473">
            <w:pPr>
              <w:keepNext w:val="0"/>
              <w:keepLines w:val="0"/>
              <w:pageBreakBefore w:val="0"/>
              <w:widowControl/>
              <w:suppressLineNumbers w:val="0"/>
              <w:kinsoku/>
              <w:wordWrap w:val="0"/>
              <w:overflowPunct/>
              <w:topLinePunct w:val="0"/>
              <w:autoSpaceDE/>
              <w:autoSpaceDN/>
              <w:bidi w:val="0"/>
              <w:adjustRightInd/>
              <w:snapToGrid/>
              <w:spacing w:before="0" w:beforeLines="0" w:beforeAutospacing="0" w:after="0" w:afterLines="0" w:afterAutospacing="0" w:line="360" w:lineRule="atLeas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乙方签字：</w:t>
            </w:r>
          </w:p>
        </w:tc>
      </w:tr>
    </w:tbl>
    <w:p w14:paraId="2EF2C70B">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Style w:val="18"/>
          <w:rFonts w:hint="eastAsia" w:ascii="宋体" w:hAnsi="宋体" w:eastAsia="宋体" w:cs="宋体"/>
          <w:color w:val="auto"/>
          <w:sz w:val="28"/>
          <w:szCs w:val="28"/>
        </w:rPr>
      </w:pPr>
    </w:p>
    <w:p w14:paraId="5DAC7126">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Style w:val="18"/>
          <w:rFonts w:hint="eastAsia" w:ascii="宋体" w:hAnsi="宋体" w:eastAsia="宋体" w:cs="宋体"/>
          <w:color w:val="auto"/>
          <w:sz w:val="28"/>
          <w:szCs w:val="28"/>
        </w:rPr>
      </w:pPr>
    </w:p>
    <w:p w14:paraId="6EC1BF3B">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Style w:val="18"/>
          <w:rFonts w:hint="eastAsia" w:ascii="宋体" w:hAnsi="宋体" w:eastAsia="宋体" w:cs="宋体"/>
          <w:color w:val="auto"/>
          <w:sz w:val="28"/>
          <w:szCs w:val="28"/>
        </w:rPr>
      </w:pPr>
    </w:p>
    <w:p w14:paraId="52AA59BA">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Style w:val="18"/>
          <w:rFonts w:hint="eastAsia" w:ascii="宋体" w:hAnsi="宋体" w:eastAsia="宋体" w:cs="宋体"/>
          <w:color w:val="auto"/>
          <w:sz w:val="28"/>
          <w:szCs w:val="28"/>
        </w:rPr>
      </w:pPr>
    </w:p>
    <w:p w14:paraId="6D55C6B6">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Style w:val="18"/>
          <w:rFonts w:hint="eastAsia" w:ascii="宋体" w:hAnsi="宋体" w:eastAsia="宋体" w:cs="宋体"/>
          <w:color w:val="auto"/>
          <w:sz w:val="28"/>
          <w:szCs w:val="28"/>
        </w:rPr>
      </w:pPr>
    </w:p>
    <w:p w14:paraId="358B9F13">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90"/>
        <w:jc w:val="left"/>
        <w:rPr>
          <w:rFonts w:hint="eastAsia" w:ascii="宋体" w:hAnsi="宋体" w:eastAsia="宋体" w:cs="宋体"/>
          <w:color w:val="auto"/>
          <w:sz w:val="24"/>
          <w:szCs w:val="24"/>
        </w:rPr>
      </w:pPr>
      <w:r>
        <w:rPr>
          <w:rStyle w:val="18"/>
          <w:rFonts w:hint="eastAsia" w:ascii="宋体" w:hAnsi="宋体" w:eastAsia="宋体" w:cs="宋体"/>
          <w:color w:val="auto"/>
          <w:sz w:val="28"/>
          <w:szCs w:val="28"/>
        </w:rPr>
        <w:t>附件3：</w:t>
      </w:r>
      <w:r>
        <w:rPr>
          <w:rStyle w:val="18"/>
          <w:rFonts w:hint="eastAsia" w:ascii="宋体" w:hAnsi="宋体" w:cs="宋体"/>
          <w:color w:val="auto"/>
          <w:sz w:val="28"/>
          <w:szCs w:val="28"/>
          <w:lang w:val="en-US" w:eastAsia="zh-CN"/>
        </w:rPr>
        <w:t xml:space="preserve">    </w:t>
      </w:r>
      <w:r>
        <w:rPr>
          <w:rStyle w:val="18"/>
          <w:rFonts w:hint="eastAsia" w:ascii="宋体" w:hAnsi="宋体" w:eastAsia="宋体" w:cs="宋体"/>
          <w:color w:val="auto"/>
          <w:sz w:val="28"/>
          <w:szCs w:val="28"/>
        </w:rPr>
        <w:t>闽江公园所属园区草花播种项目质量考核标准与评分依据</w:t>
      </w:r>
    </w:p>
    <w:p w14:paraId="40308FBD">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园区：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月份：</w:t>
      </w:r>
    </w:p>
    <w:tbl>
      <w:tblPr>
        <w:tblStyle w:val="15"/>
        <w:tblW w:w="495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903"/>
        <w:gridCol w:w="1462"/>
        <w:gridCol w:w="4640"/>
      </w:tblGrid>
      <w:tr w14:paraId="2AC0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blCellSpacing w:w="15" w:type="dxa"/>
        </w:trPr>
        <w:tc>
          <w:tcPr>
            <w:tcW w:w="4970" w:type="pct"/>
            <w:gridSpan w:val="3"/>
            <w:shd w:val="clear" w:color="auto" w:fill="auto"/>
            <w:tcMar>
              <w:top w:w="80" w:type="dxa"/>
              <w:left w:w="80" w:type="dxa"/>
              <w:bottom w:w="80" w:type="dxa"/>
              <w:right w:w="80" w:type="dxa"/>
            </w:tcMar>
            <w:vAlign w:val="center"/>
          </w:tcPr>
          <w:p w14:paraId="37A7CED9">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本期草花播种工作总评</w:t>
            </w:r>
          </w:p>
        </w:tc>
      </w:tr>
      <w:tr w14:paraId="2666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1940" w:type="pct"/>
            <w:shd w:val="clear" w:color="auto" w:fill="auto"/>
            <w:tcMar>
              <w:top w:w="80" w:type="dxa"/>
              <w:left w:w="80" w:type="dxa"/>
              <w:bottom w:w="80" w:type="dxa"/>
              <w:right w:w="80" w:type="dxa"/>
            </w:tcMar>
            <w:vAlign w:val="center"/>
          </w:tcPr>
          <w:p w14:paraId="73C4FC38">
            <w:pPr>
              <w:pStyle w:val="12"/>
              <w:keepNext w:val="0"/>
              <w:keepLines w:val="0"/>
              <w:pageBreakBefore w:val="0"/>
              <w:widowControl/>
              <w:suppressLineNumbers w:val="0"/>
              <w:tabs>
                <w:tab w:val="center" w:pos="3990"/>
                <w:tab w:val="left" w:pos="5523"/>
              </w:tabs>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p>
        </w:tc>
        <w:tc>
          <w:tcPr>
            <w:tcW w:w="705" w:type="pct"/>
            <w:shd w:val="clear" w:color="auto" w:fill="auto"/>
            <w:tcMar>
              <w:top w:w="80" w:type="dxa"/>
              <w:left w:w="80" w:type="dxa"/>
              <w:bottom w:w="80" w:type="dxa"/>
              <w:right w:w="80" w:type="dxa"/>
            </w:tcMar>
            <w:vAlign w:val="center"/>
          </w:tcPr>
          <w:p w14:paraId="6142FC16">
            <w:pPr>
              <w:pStyle w:val="12"/>
              <w:keepNext w:val="0"/>
              <w:keepLines w:val="0"/>
              <w:pageBreakBefore w:val="0"/>
              <w:widowControl/>
              <w:suppressLineNumbers w:val="0"/>
              <w:tabs>
                <w:tab w:val="center" w:pos="3990"/>
                <w:tab w:val="left" w:pos="5523"/>
              </w:tabs>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标准分</w:t>
            </w:r>
          </w:p>
        </w:tc>
        <w:tc>
          <w:tcPr>
            <w:tcW w:w="2294" w:type="pct"/>
            <w:shd w:val="clear" w:color="auto" w:fill="auto"/>
            <w:tcMar>
              <w:top w:w="80" w:type="dxa"/>
              <w:left w:w="80" w:type="dxa"/>
              <w:bottom w:w="80" w:type="dxa"/>
              <w:right w:w="80" w:type="dxa"/>
            </w:tcMar>
            <w:vAlign w:val="center"/>
          </w:tcPr>
          <w:p w14:paraId="46914CB2">
            <w:pPr>
              <w:pStyle w:val="12"/>
              <w:keepNext w:val="0"/>
              <w:keepLines w:val="0"/>
              <w:pageBreakBefore w:val="0"/>
              <w:widowControl/>
              <w:suppressLineNumbers w:val="0"/>
              <w:tabs>
                <w:tab w:val="center" w:pos="3990"/>
                <w:tab w:val="left" w:pos="5523"/>
              </w:tabs>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考核评分办法</w:t>
            </w:r>
          </w:p>
        </w:tc>
      </w:tr>
      <w:tr w14:paraId="6DF9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CellSpacing w:w="15" w:type="dxa"/>
        </w:trPr>
        <w:tc>
          <w:tcPr>
            <w:tcW w:w="1940" w:type="pct"/>
            <w:shd w:val="clear" w:color="auto" w:fill="auto"/>
            <w:tcMar>
              <w:top w:w="80" w:type="dxa"/>
              <w:left w:w="80" w:type="dxa"/>
              <w:bottom w:w="80" w:type="dxa"/>
              <w:right w:w="80" w:type="dxa"/>
            </w:tcMar>
            <w:vAlign w:val="center"/>
          </w:tcPr>
          <w:p w14:paraId="69DF93BB">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月考核</w:t>
            </w:r>
            <w:r>
              <w:rPr>
                <w:rFonts w:hint="eastAsia" w:ascii="宋体" w:hAnsi="宋体" w:eastAsia="宋体" w:cs="宋体"/>
                <w:color w:val="auto"/>
                <w:sz w:val="24"/>
                <w:szCs w:val="24"/>
                <w:lang w:val="en-US" w:eastAsia="zh-CN"/>
              </w:rPr>
              <w:t>分数</w:t>
            </w:r>
          </w:p>
        </w:tc>
        <w:tc>
          <w:tcPr>
            <w:tcW w:w="705" w:type="pct"/>
            <w:shd w:val="clear" w:color="auto" w:fill="auto"/>
            <w:tcMar>
              <w:top w:w="80" w:type="dxa"/>
              <w:left w:w="80" w:type="dxa"/>
              <w:bottom w:w="80" w:type="dxa"/>
              <w:right w:w="80" w:type="dxa"/>
            </w:tcMar>
            <w:vAlign w:val="center"/>
          </w:tcPr>
          <w:p w14:paraId="2A664E70">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2294" w:type="pct"/>
            <w:shd w:val="clear" w:color="auto" w:fill="auto"/>
            <w:tcMar>
              <w:top w:w="80" w:type="dxa"/>
              <w:left w:w="80" w:type="dxa"/>
              <w:bottom w:w="80" w:type="dxa"/>
              <w:right w:w="80" w:type="dxa"/>
            </w:tcMar>
            <w:vAlign w:val="center"/>
          </w:tcPr>
          <w:p w14:paraId="7C786F77">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草花播种月平均分的45%</w:t>
            </w:r>
          </w:p>
        </w:tc>
      </w:tr>
      <w:tr w14:paraId="4BE4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1940" w:type="pct"/>
            <w:shd w:val="clear" w:color="auto" w:fill="auto"/>
            <w:tcMar>
              <w:top w:w="80" w:type="dxa"/>
              <w:left w:w="80" w:type="dxa"/>
              <w:bottom w:w="80" w:type="dxa"/>
              <w:right w:w="80" w:type="dxa"/>
            </w:tcMar>
            <w:vAlign w:val="center"/>
          </w:tcPr>
          <w:p w14:paraId="495BB2E3">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盛</w:t>
            </w:r>
            <w:r>
              <w:rPr>
                <w:rFonts w:hint="eastAsia" w:ascii="宋体" w:hAnsi="宋体" w:eastAsia="宋体" w:cs="宋体"/>
                <w:color w:val="auto"/>
                <w:sz w:val="24"/>
                <w:szCs w:val="24"/>
              </w:rPr>
              <w:t>花期按计划时间到达</w:t>
            </w:r>
          </w:p>
        </w:tc>
        <w:tc>
          <w:tcPr>
            <w:tcW w:w="705" w:type="pct"/>
            <w:shd w:val="clear" w:color="auto" w:fill="auto"/>
            <w:tcMar>
              <w:top w:w="80" w:type="dxa"/>
              <w:left w:w="80" w:type="dxa"/>
              <w:bottom w:w="80" w:type="dxa"/>
              <w:right w:w="80" w:type="dxa"/>
            </w:tcMar>
            <w:vAlign w:val="center"/>
          </w:tcPr>
          <w:p w14:paraId="37DA476C">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294" w:type="pct"/>
            <w:shd w:val="clear" w:color="auto" w:fill="auto"/>
            <w:tcMar>
              <w:top w:w="80" w:type="dxa"/>
              <w:left w:w="80" w:type="dxa"/>
              <w:bottom w:w="80" w:type="dxa"/>
              <w:right w:w="80" w:type="dxa"/>
            </w:tcMar>
            <w:vAlign w:val="center"/>
          </w:tcPr>
          <w:p w14:paraId="557055C8">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盛花期≤5天，得25分</w:t>
            </w:r>
          </w:p>
          <w:p w14:paraId="1E49B9CD">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5天＜盛花期≤10天，得20分</w:t>
            </w:r>
          </w:p>
          <w:p w14:paraId="25DCD488">
            <w:pPr>
              <w:pStyle w:val="6"/>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10天＜盛花期≤15天，得15分</w:t>
            </w:r>
          </w:p>
          <w:p w14:paraId="3C486A0D">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盛花期超过15天以上不得分</w:t>
            </w:r>
          </w:p>
        </w:tc>
      </w:tr>
      <w:tr w14:paraId="6468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1940" w:type="pct"/>
            <w:shd w:val="clear" w:color="auto" w:fill="auto"/>
            <w:tcMar>
              <w:top w:w="80" w:type="dxa"/>
              <w:left w:w="80" w:type="dxa"/>
              <w:bottom w:w="80" w:type="dxa"/>
              <w:right w:w="80" w:type="dxa"/>
            </w:tcMar>
            <w:vAlign w:val="center"/>
          </w:tcPr>
          <w:p w14:paraId="0A4D91EF">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盛花效果达到播种面积90%以上</w:t>
            </w:r>
          </w:p>
        </w:tc>
        <w:tc>
          <w:tcPr>
            <w:tcW w:w="705" w:type="pct"/>
            <w:shd w:val="clear" w:color="auto" w:fill="auto"/>
            <w:tcMar>
              <w:top w:w="80" w:type="dxa"/>
              <w:left w:w="80" w:type="dxa"/>
              <w:bottom w:w="80" w:type="dxa"/>
              <w:right w:w="80" w:type="dxa"/>
            </w:tcMar>
            <w:vAlign w:val="center"/>
          </w:tcPr>
          <w:p w14:paraId="2EEEA224">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294" w:type="pct"/>
            <w:shd w:val="clear" w:color="auto" w:fill="auto"/>
            <w:tcMar>
              <w:top w:w="80" w:type="dxa"/>
              <w:left w:w="80" w:type="dxa"/>
              <w:bottom w:w="80" w:type="dxa"/>
              <w:right w:w="80" w:type="dxa"/>
            </w:tcMar>
            <w:vAlign w:val="center"/>
          </w:tcPr>
          <w:p w14:paraId="2C62B44B">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盛花效果≥90%，得15分</w:t>
            </w:r>
          </w:p>
          <w:p w14:paraId="1944B67E">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85%≤盛花效果＜90%，得10分</w:t>
            </w:r>
          </w:p>
          <w:p w14:paraId="7FBF511D">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80%≤盛花效果＜85%，得5分</w:t>
            </w:r>
          </w:p>
          <w:p w14:paraId="1E29CE59">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盛花效果＜80%不得分</w:t>
            </w:r>
          </w:p>
        </w:tc>
      </w:tr>
      <w:tr w14:paraId="36DE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1940" w:type="pct"/>
            <w:shd w:val="clear" w:color="auto" w:fill="auto"/>
            <w:tcMar>
              <w:top w:w="80" w:type="dxa"/>
              <w:left w:w="80" w:type="dxa"/>
              <w:bottom w:w="80" w:type="dxa"/>
              <w:right w:w="80" w:type="dxa"/>
            </w:tcMar>
            <w:vAlign w:val="center"/>
          </w:tcPr>
          <w:p w14:paraId="1A0B267B">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草花密度、高度、花色达到播种计划要求</w:t>
            </w:r>
          </w:p>
        </w:tc>
        <w:tc>
          <w:tcPr>
            <w:tcW w:w="705" w:type="pct"/>
            <w:shd w:val="clear" w:color="auto" w:fill="auto"/>
            <w:tcMar>
              <w:top w:w="80" w:type="dxa"/>
              <w:left w:w="80" w:type="dxa"/>
              <w:bottom w:w="80" w:type="dxa"/>
              <w:right w:w="80" w:type="dxa"/>
            </w:tcMar>
            <w:vAlign w:val="center"/>
          </w:tcPr>
          <w:p w14:paraId="387D20FF">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294" w:type="pct"/>
            <w:shd w:val="clear" w:color="auto" w:fill="auto"/>
            <w:tcMar>
              <w:top w:w="80" w:type="dxa"/>
              <w:left w:w="80" w:type="dxa"/>
              <w:bottom w:w="80" w:type="dxa"/>
              <w:right w:w="80" w:type="dxa"/>
            </w:tcMar>
            <w:vAlign w:val="center"/>
          </w:tcPr>
          <w:p w14:paraId="5024218F">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按计划达到要求得15分</w:t>
            </w:r>
          </w:p>
          <w:p w14:paraId="002ADEF6">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基本达到要求得10分</w:t>
            </w:r>
          </w:p>
          <w:p w14:paraId="65EE5255">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未达到要求不得分</w:t>
            </w:r>
          </w:p>
        </w:tc>
      </w:tr>
      <w:tr w14:paraId="5F4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blCellSpacing w:w="15" w:type="dxa"/>
        </w:trPr>
        <w:tc>
          <w:tcPr>
            <w:tcW w:w="1940" w:type="pct"/>
            <w:shd w:val="clear" w:color="auto" w:fill="auto"/>
            <w:tcMar>
              <w:top w:w="80" w:type="dxa"/>
              <w:left w:w="80" w:type="dxa"/>
              <w:bottom w:w="80" w:type="dxa"/>
              <w:right w:w="80" w:type="dxa"/>
            </w:tcMar>
            <w:vAlign w:val="center"/>
          </w:tcPr>
          <w:p w14:paraId="343768E4">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总分</w:t>
            </w:r>
          </w:p>
        </w:tc>
        <w:tc>
          <w:tcPr>
            <w:tcW w:w="705" w:type="pct"/>
            <w:shd w:val="clear" w:color="auto" w:fill="auto"/>
            <w:tcMar>
              <w:top w:w="80" w:type="dxa"/>
              <w:left w:w="80" w:type="dxa"/>
              <w:bottom w:w="80" w:type="dxa"/>
              <w:right w:w="80" w:type="dxa"/>
            </w:tcMar>
            <w:vAlign w:val="center"/>
          </w:tcPr>
          <w:p w14:paraId="0A906421">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2294" w:type="pct"/>
            <w:shd w:val="clear" w:color="auto" w:fill="auto"/>
            <w:tcMar>
              <w:top w:w="80" w:type="dxa"/>
              <w:left w:w="80" w:type="dxa"/>
              <w:bottom w:w="80" w:type="dxa"/>
              <w:right w:w="80" w:type="dxa"/>
            </w:tcMar>
            <w:vAlign w:val="center"/>
          </w:tcPr>
          <w:p w14:paraId="50652DEF">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r>
      <w:tr w14:paraId="55B4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85" w:hRule="atLeast"/>
          <w:tblCellSpacing w:w="15" w:type="dxa"/>
        </w:trPr>
        <w:tc>
          <w:tcPr>
            <w:tcW w:w="2660" w:type="pct"/>
            <w:gridSpan w:val="2"/>
            <w:shd w:val="clear" w:color="auto" w:fill="auto"/>
            <w:tcMar>
              <w:top w:w="80" w:type="dxa"/>
              <w:left w:w="80" w:type="dxa"/>
              <w:bottom w:w="80" w:type="dxa"/>
              <w:right w:w="80" w:type="dxa"/>
            </w:tcMar>
            <w:vAlign w:val="center"/>
          </w:tcPr>
          <w:p w14:paraId="3D8278C5">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甲方考核组成员签字：</w:t>
            </w:r>
          </w:p>
        </w:tc>
        <w:tc>
          <w:tcPr>
            <w:tcW w:w="2294" w:type="pct"/>
            <w:shd w:val="clear" w:color="auto" w:fill="auto"/>
            <w:tcMar>
              <w:top w:w="80" w:type="dxa"/>
              <w:left w:w="80" w:type="dxa"/>
              <w:bottom w:w="80" w:type="dxa"/>
              <w:right w:w="80" w:type="dxa"/>
            </w:tcMar>
            <w:vAlign w:val="center"/>
          </w:tcPr>
          <w:p w14:paraId="1B8E2E60">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乙方签字：</w:t>
            </w:r>
          </w:p>
        </w:tc>
      </w:tr>
    </w:tbl>
    <w:p w14:paraId="6DC877C3">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备注：1、盛花期指草本花卉在生长周期中，开放花朵占总花苞50%的阶段。</w:t>
      </w:r>
    </w:p>
    <w:p w14:paraId="0B1C0753">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Style w:val="18"/>
          <w:rFonts w:hint="eastAsia" w:ascii="宋体" w:hAnsi="宋体" w:eastAsia="宋体" w:cs="宋体"/>
          <w:color w:val="auto"/>
          <w:sz w:val="24"/>
          <w:szCs w:val="24"/>
        </w:rPr>
      </w:pPr>
    </w:p>
    <w:p w14:paraId="157B31ED">
      <w:pPr>
        <w:pStyle w:val="6"/>
        <w:rPr>
          <w:rFonts w:hint="eastAsia"/>
          <w:color w:val="auto"/>
        </w:rPr>
        <w:sectPr>
          <w:pgSz w:w="11906" w:h="16838"/>
          <w:pgMar w:top="1587" w:right="1020" w:bottom="1587" w:left="1020" w:header="851" w:footer="992" w:gutter="0"/>
          <w:pgNumType w:fmt="decimal"/>
          <w:cols w:space="0" w:num="1"/>
          <w:rtlGutter w:val="0"/>
          <w:docGrid w:type="lines" w:linePitch="313" w:charSpace="0"/>
        </w:sectPr>
      </w:pPr>
    </w:p>
    <w:p w14:paraId="4B32781F">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Style w:val="18"/>
          <w:rFonts w:hint="eastAsia" w:ascii="宋体" w:hAnsi="宋体" w:eastAsia="宋体" w:cs="宋体"/>
          <w:color w:val="auto"/>
          <w:sz w:val="28"/>
          <w:szCs w:val="28"/>
        </w:rPr>
      </w:pPr>
      <w:r>
        <w:rPr>
          <w:rStyle w:val="18"/>
          <w:rFonts w:hint="eastAsia" w:ascii="宋体" w:hAnsi="宋体" w:eastAsia="宋体" w:cs="宋体"/>
          <w:color w:val="auto"/>
          <w:sz w:val="28"/>
          <w:szCs w:val="28"/>
        </w:rPr>
        <w:t>闽江公园草花播种项目考核汇总表</w:t>
      </w:r>
    </w:p>
    <w:p w14:paraId="10919EE4">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园区：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月份：</w:t>
      </w:r>
    </w:p>
    <w:tbl>
      <w:tblPr>
        <w:tblStyle w:val="15"/>
        <w:tblW w:w="495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70"/>
        <w:gridCol w:w="1553"/>
        <w:gridCol w:w="1798"/>
        <w:gridCol w:w="1410"/>
        <w:gridCol w:w="1589"/>
        <w:gridCol w:w="1285"/>
      </w:tblGrid>
      <w:tr w14:paraId="5EC1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1180" w:type="pct"/>
            <w:shd w:val="clear" w:color="auto" w:fill="auto"/>
            <w:tcMar>
              <w:top w:w="80" w:type="dxa"/>
              <w:left w:w="80" w:type="dxa"/>
              <w:bottom w:w="80" w:type="dxa"/>
              <w:right w:w="80" w:type="dxa"/>
            </w:tcMar>
            <w:vAlign w:val="center"/>
          </w:tcPr>
          <w:p w14:paraId="37E04045">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773" w:type="pct"/>
            <w:shd w:val="clear" w:color="auto" w:fill="auto"/>
            <w:tcMar>
              <w:top w:w="80" w:type="dxa"/>
              <w:left w:w="80" w:type="dxa"/>
              <w:bottom w:w="80" w:type="dxa"/>
              <w:right w:w="80" w:type="dxa"/>
            </w:tcMar>
            <w:vAlign w:val="center"/>
          </w:tcPr>
          <w:p w14:paraId="49D92D2F">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w:t>
            </w:r>
          </w:p>
        </w:tc>
        <w:tc>
          <w:tcPr>
            <w:tcW w:w="866" w:type="pct"/>
            <w:shd w:val="clear" w:color="auto" w:fill="auto"/>
            <w:tcMar>
              <w:top w:w="80" w:type="dxa"/>
              <w:left w:w="80" w:type="dxa"/>
              <w:bottom w:w="80" w:type="dxa"/>
              <w:right w:w="80" w:type="dxa"/>
            </w:tcMar>
            <w:vAlign w:val="center"/>
          </w:tcPr>
          <w:p w14:paraId="45A8DA3A">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00" w:type="pct"/>
            <w:shd w:val="clear" w:color="auto" w:fill="auto"/>
            <w:tcMar>
              <w:top w:w="80" w:type="dxa"/>
              <w:left w:w="80" w:type="dxa"/>
              <w:bottom w:w="80" w:type="dxa"/>
              <w:right w:w="80" w:type="dxa"/>
            </w:tcMar>
            <w:vAlign w:val="center"/>
          </w:tcPr>
          <w:p w14:paraId="70D4CAF4">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761" w:type="pct"/>
            <w:shd w:val="clear" w:color="auto" w:fill="auto"/>
            <w:tcMar>
              <w:top w:w="80" w:type="dxa"/>
              <w:left w:w="80" w:type="dxa"/>
              <w:bottom w:w="80" w:type="dxa"/>
              <w:right w:w="80" w:type="dxa"/>
            </w:tcMar>
            <w:vAlign w:val="center"/>
          </w:tcPr>
          <w:p w14:paraId="74C137FE">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w:t>
            </w:r>
          </w:p>
        </w:tc>
        <w:tc>
          <w:tcPr>
            <w:tcW w:w="613" w:type="pct"/>
            <w:shd w:val="clear" w:color="auto" w:fill="auto"/>
            <w:tcMar>
              <w:top w:w="80" w:type="dxa"/>
              <w:left w:w="80" w:type="dxa"/>
              <w:bottom w:w="80" w:type="dxa"/>
              <w:right w:w="80" w:type="dxa"/>
            </w:tcMar>
            <w:vAlign w:val="center"/>
          </w:tcPr>
          <w:p w14:paraId="6F844142">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6B5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trPr>
        <w:tc>
          <w:tcPr>
            <w:tcW w:w="1180" w:type="pct"/>
            <w:shd w:val="clear" w:color="auto" w:fill="auto"/>
            <w:tcMar>
              <w:top w:w="80" w:type="dxa"/>
              <w:left w:w="80" w:type="dxa"/>
              <w:bottom w:w="80" w:type="dxa"/>
              <w:right w:w="80" w:type="dxa"/>
            </w:tcMar>
            <w:vAlign w:val="center"/>
          </w:tcPr>
          <w:p w14:paraId="50C07B76">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73" w:type="pct"/>
            <w:shd w:val="clear" w:color="auto" w:fill="auto"/>
            <w:tcMar>
              <w:top w:w="80" w:type="dxa"/>
              <w:left w:w="80" w:type="dxa"/>
              <w:bottom w:w="80" w:type="dxa"/>
              <w:right w:w="80" w:type="dxa"/>
            </w:tcMar>
            <w:vAlign w:val="center"/>
          </w:tcPr>
          <w:p w14:paraId="60049130">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866" w:type="pct"/>
            <w:shd w:val="clear" w:color="auto" w:fill="auto"/>
            <w:tcMar>
              <w:top w:w="80" w:type="dxa"/>
              <w:left w:w="80" w:type="dxa"/>
              <w:bottom w:w="80" w:type="dxa"/>
              <w:right w:w="80" w:type="dxa"/>
            </w:tcMar>
            <w:vAlign w:val="center"/>
          </w:tcPr>
          <w:p w14:paraId="1C77D7A1">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00" w:type="pct"/>
            <w:shd w:val="clear" w:color="auto" w:fill="auto"/>
            <w:tcMar>
              <w:top w:w="80" w:type="dxa"/>
              <w:left w:w="80" w:type="dxa"/>
              <w:bottom w:w="80" w:type="dxa"/>
              <w:right w:w="80" w:type="dxa"/>
            </w:tcMar>
            <w:vAlign w:val="center"/>
          </w:tcPr>
          <w:p w14:paraId="290049E0">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61" w:type="pct"/>
            <w:shd w:val="clear" w:color="auto" w:fill="auto"/>
            <w:tcMar>
              <w:top w:w="80" w:type="dxa"/>
              <w:left w:w="80" w:type="dxa"/>
              <w:bottom w:w="80" w:type="dxa"/>
              <w:right w:w="80" w:type="dxa"/>
            </w:tcMar>
            <w:vAlign w:val="center"/>
          </w:tcPr>
          <w:p w14:paraId="2F9B5AEA">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4C9DF984">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r>
      <w:tr w14:paraId="2C08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blCellSpacing w:w="15" w:type="dxa"/>
        </w:trPr>
        <w:tc>
          <w:tcPr>
            <w:tcW w:w="1180" w:type="pct"/>
            <w:shd w:val="clear" w:color="auto" w:fill="auto"/>
            <w:tcMar>
              <w:top w:w="80" w:type="dxa"/>
              <w:left w:w="80" w:type="dxa"/>
              <w:bottom w:w="80" w:type="dxa"/>
              <w:right w:w="80" w:type="dxa"/>
            </w:tcMar>
            <w:vAlign w:val="center"/>
          </w:tcPr>
          <w:p w14:paraId="091A9372">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73" w:type="pct"/>
            <w:shd w:val="clear" w:color="auto" w:fill="auto"/>
            <w:tcMar>
              <w:top w:w="80" w:type="dxa"/>
              <w:left w:w="80" w:type="dxa"/>
              <w:bottom w:w="80" w:type="dxa"/>
              <w:right w:w="80" w:type="dxa"/>
            </w:tcMar>
            <w:vAlign w:val="center"/>
          </w:tcPr>
          <w:p w14:paraId="44A52343">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866" w:type="pct"/>
            <w:shd w:val="clear" w:color="auto" w:fill="auto"/>
            <w:tcMar>
              <w:top w:w="80" w:type="dxa"/>
              <w:left w:w="80" w:type="dxa"/>
              <w:bottom w:w="80" w:type="dxa"/>
              <w:right w:w="80" w:type="dxa"/>
            </w:tcMar>
            <w:vAlign w:val="center"/>
          </w:tcPr>
          <w:p w14:paraId="45726B5D">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00" w:type="pct"/>
            <w:shd w:val="clear" w:color="auto" w:fill="auto"/>
            <w:tcMar>
              <w:top w:w="80" w:type="dxa"/>
              <w:left w:w="80" w:type="dxa"/>
              <w:bottom w:w="80" w:type="dxa"/>
              <w:right w:w="80" w:type="dxa"/>
            </w:tcMar>
            <w:vAlign w:val="center"/>
          </w:tcPr>
          <w:p w14:paraId="772FE704">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61" w:type="pct"/>
            <w:shd w:val="clear" w:color="auto" w:fill="auto"/>
            <w:tcMar>
              <w:top w:w="80" w:type="dxa"/>
              <w:left w:w="80" w:type="dxa"/>
              <w:bottom w:w="80" w:type="dxa"/>
              <w:right w:w="80" w:type="dxa"/>
            </w:tcMar>
            <w:vAlign w:val="center"/>
          </w:tcPr>
          <w:p w14:paraId="654A84B4">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04BAFEDA">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r>
      <w:tr w14:paraId="7CB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tblCellSpacing w:w="15" w:type="dxa"/>
        </w:trPr>
        <w:tc>
          <w:tcPr>
            <w:tcW w:w="1180" w:type="pct"/>
            <w:shd w:val="clear" w:color="auto" w:fill="auto"/>
            <w:tcMar>
              <w:top w:w="80" w:type="dxa"/>
              <w:left w:w="80" w:type="dxa"/>
              <w:bottom w:w="80" w:type="dxa"/>
              <w:right w:w="80" w:type="dxa"/>
            </w:tcMar>
            <w:vAlign w:val="center"/>
          </w:tcPr>
          <w:p w14:paraId="69295988">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73" w:type="pct"/>
            <w:shd w:val="clear" w:color="auto" w:fill="auto"/>
            <w:tcMar>
              <w:top w:w="80" w:type="dxa"/>
              <w:left w:w="80" w:type="dxa"/>
              <w:bottom w:w="80" w:type="dxa"/>
              <w:right w:w="80" w:type="dxa"/>
            </w:tcMar>
            <w:vAlign w:val="center"/>
          </w:tcPr>
          <w:p w14:paraId="657E7113">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866" w:type="pct"/>
            <w:shd w:val="clear" w:color="auto" w:fill="auto"/>
            <w:tcMar>
              <w:top w:w="80" w:type="dxa"/>
              <w:left w:w="80" w:type="dxa"/>
              <w:bottom w:w="80" w:type="dxa"/>
              <w:right w:w="80" w:type="dxa"/>
            </w:tcMar>
            <w:vAlign w:val="center"/>
          </w:tcPr>
          <w:p w14:paraId="1EEA8282">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00" w:type="pct"/>
            <w:shd w:val="clear" w:color="auto" w:fill="auto"/>
            <w:tcMar>
              <w:top w:w="80" w:type="dxa"/>
              <w:left w:w="80" w:type="dxa"/>
              <w:bottom w:w="80" w:type="dxa"/>
              <w:right w:w="80" w:type="dxa"/>
            </w:tcMar>
            <w:vAlign w:val="center"/>
          </w:tcPr>
          <w:p w14:paraId="31331BDC">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761" w:type="pct"/>
            <w:shd w:val="clear" w:color="auto" w:fill="auto"/>
            <w:tcMar>
              <w:top w:w="80" w:type="dxa"/>
              <w:left w:w="80" w:type="dxa"/>
              <w:bottom w:w="80" w:type="dxa"/>
              <w:right w:w="80" w:type="dxa"/>
            </w:tcMar>
            <w:vAlign w:val="center"/>
          </w:tcPr>
          <w:p w14:paraId="57A1F4A2">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2E50F5A4">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r>
      <w:tr w14:paraId="5538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1180" w:type="pct"/>
            <w:shd w:val="clear" w:color="auto" w:fill="auto"/>
            <w:tcMar>
              <w:top w:w="80" w:type="dxa"/>
              <w:left w:w="80" w:type="dxa"/>
              <w:bottom w:w="80" w:type="dxa"/>
              <w:right w:w="80" w:type="dxa"/>
            </w:tcMar>
            <w:vAlign w:val="center"/>
          </w:tcPr>
          <w:p w14:paraId="2A813CAF">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月平均分</w:t>
            </w:r>
          </w:p>
        </w:tc>
        <w:tc>
          <w:tcPr>
            <w:tcW w:w="3774" w:type="pct"/>
            <w:gridSpan w:val="5"/>
            <w:shd w:val="clear" w:color="auto" w:fill="auto"/>
            <w:tcMar>
              <w:top w:w="80" w:type="dxa"/>
              <w:left w:w="80" w:type="dxa"/>
              <w:bottom w:w="80" w:type="dxa"/>
              <w:right w:w="80" w:type="dxa"/>
            </w:tcMar>
            <w:vAlign w:val="center"/>
          </w:tcPr>
          <w:p w14:paraId="5C8A0B57">
            <w:pPr>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p>
        </w:tc>
      </w:tr>
      <w:tr w14:paraId="3D8F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CellSpacing w:w="15" w:type="dxa"/>
        </w:trPr>
        <w:tc>
          <w:tcPr>
            <w:tcW w:w="4970" w:type="pct"/>
            <w:gridSpan w:val="6"/>
            <w:shd w:val="clear" w:color="auto" w:fill="auto"/>
            <w:tcMar>
              <w:top w:w="80" w:type="dxa"/>
              <w:left w:w="80" w:type="dxa"/>
              <w:bottom w:w="80" w:type="dxa"/>
              <w:right w:w="80" w:type="dxa"/>
            </w:tcMar>
            <w:vAlign w:val="center"/>
          </w:tcPr>
          <w:p w14:paraId="33C76580">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54F7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4341" w:type="pct"/>
            <w:gridSpan w:val="5"/>
            <w:shd w:val="clear" w:color="auto" w:fill="auto"/>
            <w:tcMar>
              <w:top w:w="80" w:type="dxa"/>
              <w:left w:w="80" w:type="dxa"/>
              <w:bottom w:w="80" w:type="dxa"/>
              <w:right w:w="80" w:type="dxa"/>
            </w:tcMar>
            <w:vAlign w:val="center"/>
          </w:tcPr>
          <w:p w14:paraId="0854D89A">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1E7AECE8">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4958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4341" w:type="pct"/>
            <w:gridSpan w:val="5"/>
            <w:shd w:val="clear" w:color="auto" w:fill="auto"/>
            <w:tcMar>
              <w:top w:w="80" w:type="dxa"/>
              <w:left w:w="80" w:type="dxa"/>
              <w:bottom w:w="80" w:type="dxa"/>
              <w:right w:w="80" w:type="dxa"/>
            </w:tcMar>
            <w:vAlign w:val="center"/>
          </w:tcPr>
          <w:p w14:paraId="4D04218A">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7F074FF3">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44BA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4341" w:type="pct"/>
            <w:gridSpan w:val="5"/>
            <w:shd w:val="clear" w:color="auto" w:fill="auto"/>
            <w:tcMar>
              <w:top w:w="80" w:type="dxa"/>
              <w:left w:w="80" w:type="dxa"/>
              <w:bottom w:w="80" w:type="dxa"/>
              <w:right w:w="80" w:type="dxa"/>
            </w:tcMar>
            <w:vAlign w:val="center"/>
          </w:tcPr>
          <w:p w14:paraId="7339DBE1">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5274CE3E">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7B6D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blCellSpacing w:w="15" w:type="dxa"/>
        </w:trPr>
        <w:tc>
          <w:tcPr>
            <w:tcW w:w="4341" w:type="pct"/>
            <w:gridSpan w:val="5"/>
            <w:shd w:val="clear" w:color="auto" w:fill="auto"/>
            <w:tcMar>
              <w:top w:w="80" w:type="dxa"/>
              <w:left w:w="80" w:type="dxa"/>
              <w:bottom w:w="80" w:type="dxa"/>
              <w:right w:w="80" w:type="dxa"/>
            </w:tcMar>
            <w:vAlign w:val="center"/>
          </w:tcPr>
          <w:p w14:paraId="226BC4C2">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613" w:type="pct"/>
            <w:shd w:val="clear" w:color="auto" w:fill="auto"/>
            <w:tcMar>
              <w:top w:w="80" w:type="dxa"/>
              <w:left w:w="80" w:type="dxa"/>
              <w:bottom w:w="80" w:type="dxa"/>
              <w:right w:w="80" w:type="dxa"/>
            </w:tcMar>
            <w:vAlign w:val="center"/>
          </w:tcPr>
          <w:p w14:paraId="641FE7FE">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4365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blCellSpacing w:w="15" w:type="dxa"/>
        </w:trPr>
        <w:tc>
          <w:tcPr>
            <w:tcW w:w="2850" w:type="pct"/>
            <w:gridSpan w:val="3"/>
            <w:vMerge w:val="restart"/>
            <w:shd w:val="clear" w:color="auto" w:fill="auto"/>
            <w:tcMar>
              <w:top w:w="80" w:type="dxa"/>
              <w:left w:w="80" w:type="dxa"/>
              <w:bottom w:w="80" w:type="dxa"/>
              <w:right w:w="80" w:type="dxa"/>
            </w:tcMar>
            <w:vAlign w:val="center"/>
          </w:tcPr>
          <w:p w14:paraId="454B5E81">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甲方考核组成员签字：</w:t>
            </w:r>
          </w:p>
        </w:tc>
        <w:tc>
          <w:tcPr>
            <w:tcW w:w="2104" w:type="pct"/>
            <w:gridSpan w:val="3"/>
            <w:vMerge w:val="restart"/>
            <w:shd w:val="clear" w:color="auto" w:fill="auto"/>
            <w:tcMar>
              <w:top w:w="80" w:type="dxa"/>
              <w:left w:w="80" w:type="dxa"/>
              <w:bottom w:w="80" w:type="dxa"/>
              <w:right w:w="80" w:type="dxa"/>
            </w:tcMar>
            <w:vAlign w:val="center"/>
          </w:tcPr>
          <w:p w14:paraId="5E71513C">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乙方签字：</w:t>
            </w:r>
          </w:p>
        </w:tc>
      </w:tr>
      <w:tr w14:paraId="2DA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 w:hRule="atLeast"/>
          <w:tblCellSpacing w:w="15" w:type="dxa"/>
        </w:trPr>
        <w:tc>
          <w:tcPr>
            <w:tcW w:w="2850" w:type="pct"/>
            <w:gridSpan w:val="3"/>
            <w:vMerge w:val="continue"/>
            <w:shd w:val="clear" w:color="auto" w:fill="auto"/>
            <w:tcMar>
              <w:top w:w="80" w:type="dxa"/>
              <w:left w:w="80" w:type="dxa"/>
              <w:bottom w:w="80" w:type="dxa"/>
              <w:right w:w="80" w:type="dxa"/>
            </w:tcMar>
            <w:vAlign w:val="center"/>
          </w:tcPr>
          <w:p w14:paraId="620C3D79">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2104" w:type="pct"/>
            <w:gridSpan w:val="3"/>
            <w:vMerge w:val="continue"/>
            <w:shd w:val="clear" w:color="auto" w:fill="auto"/>
            <w:tcMar>
              <w:top w:w="80" w:type="dxa"/>
              <w:left w:w="80" w:type="dxa"/>
              <w:bottom w:w="80" w:type="dxa"/>
              <w:right w:w="80" w:type="dxa"/>
            </w:tcMar>
            <w:vAlign w:val="center"/>
          </w:tcPr>
          <w:p w14:paraId="2E5F0D28">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6945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 w:hRule="atLeast"/>
          <w:tblCellSpacing w:w="15" w:type="dxa"/>
        </w:trPr>
        <w:tc>
          <w:tcPr>
            <w:tcW w:w="2850" w:type="pct"/>
            <w:gridSpan w:val="3"/>
            <w:vMerge w:val="continue"/>
            <w:shd w:val="clear" w:color="auto" w:fill="auto"/>
            <w:tcMar>
              <w:top w:w="80" w:type="dxa"/>
              <w:left w:w="80" w:type="dxa"/>
              <w:bottom w:w="80" w:type="dxa"/>
              <w:right w:w="80" w:type="dxa"/>
            </w:tcMar>
            <w:vAlign w:val="center"/>
          </w:tcPr>
          <w:p w14:paraId="039C8ED6">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2104" w:type="pct"/>
            <w:gridSpan w:val="3"/>
            <w:vMerge w:val="continue"/>
            <w:shd w:val="clear" w:color="auto" w:fill="auto"/>
            <w:tcMar>
              <w:top w:w="80" w:type="dxa"/>
              <w:left w:w="80" w:type="dxa"/>
              <w:bottom w:w="80" w:type="dxa"/>
              <w:right w:w="80" w:type="dxa"/>
            </w:tcMar>
            <w:vAlign w:val="center"/>
          </w:tcPr>
          <w:p w14:paraId="1BD87D32">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52FB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blCellSpacing w:w="15" w:type="dxa"/>
        </w:trPr>
        <w:tc>
          <w:tcPr>
            <w:tcW w:w="2850" w:type="pct"/>
            <w:gridSpan w:val="3"/>
            <w:vMerge w:val="continue"/>
            <w:shd w:val="clear" w:color="auto" w:fill="auto"/>
            <w:tcMar>
              <w:top w:w="80" w:type="dxa"/>
              <w:left w:w="80" w:type="dxa"/>
              <w:bottom w:w="80" w:type="dxa"/>
              <w:right w:w="80" w:type="dxa"/>
            </w:tcMar>
            <w:vAlign w:val="center"/>
          </w:tcPr>
          <w:p w14:paraId="3F2B841E">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2104" w:type="pct"/>
            <w:gridSpan w:val="3"/>
            <w:vMerge w:val="continue"/>
            <w:shd w:val="clear" w:color="auto" w:fill="auto"/>
            <w:tcMar>
              <w:top w:w="80" w:type="dxa"/>
              <w:left w:w="80" w:type="dxa"/>
              <w:bottom w:w="80" w:type="dxa"/>
              <w:right w:w="80" w:type="dxa"/>
            </w:tcMar>
            <w:vAlign w:val="center"/>
          </w:tcPr>
          <w:p w14:paraId="1CB68A16">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r w14:paraId="7C45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blCellSpacing w:w="15" w:type="dxa"/>
        </w:trPr>
        <w:tc>
          <w:tcPr>
            <w:tcW w:w="2850" w:type="pct"/>
            <w:gridSpan w:val="3"/>
            <w:vMerge w:val="continue"/>
            <w:shd w:val="clear" w:color="auto" w:fill="auto"/>
            <w:tcMar>
              <w:top w:w="80" w:type="dxa"/>
              <w:left w:w="80" w:type="dxa"/>
              <w:bottom w:w="80" w:type="dxa"/>
              <w:right w:w="80" w:type="dxa"/>
            </w:tcMar>
            <w:vAlign w:val="center"/>
          </w:tcPr>
          <w:p w14:paraId="4AADD4CB">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c>
          <w:tcPr>
            <w:tcW w:w="2104" w:type="pct"/>
            <w:gridSpan w:val="3"/>
            <w:vMerge w:val="continue"/>
            <w:shd w:val="clear" w:color="auto" w:fill="auto"/>
            <w:tcMar>
              <w:top w:w="80" w:type="dxa"/>
              <w:left w:w="80" w:type="dxa"/>
              <w:bottom w:w="80" w:type="dxa"/>
              <w:right w:w="80" w:type="dxa"/>
            </w:tcMar>
            <w:vAlign w:val="center"/>
          </w:tcPr>
          <w:p w14:paraId="42D5A898">
            <w:pPr>
              <w:keepNext w:val="0"/>
              <w:keepLines w:val="0"/>
              <w:pageBreakBefore w:val="0"/>
              <w:kinsoku/>
              <w:overflowPunct/>
              <w:topLinePunct w:val="0"/>
              <w:autoSpaceDE/>
              <w:autoSpaceDN/>
              <w:bidi w:val="0"/>
              <w:spacing w:before="0" w:beforeLines="0" w:beforeAutospacing="0" w:after="0" w:afterLines="0" w:afterAutospacing="0" w:line="360" w:lineRule="atLeast"/>
              <w:ind w:left="0" w:leftChars="0"/>
              <w:rPr>
                <w:rFonts w:hint="eastAsia" w:ascii="宋体" w:hAnsi="宋体" w:eastAsia="宋体" w:cs="宋体"/>
                <w:color w:val="auto"/>
                <w:sz w:val="24"/>
                <w:szCs w:val="24"/>
              </w:rPr>
            </w:pPr>
          </w:p>
        </w:tc>
      </w:tr>
    </w:tbl>
    <w:p w14:paraId="5AD8893A">
      <w:pPr>
        <w:pStyle w:val="12"/>
        <w:keepNext w:val="0"/>
        <w:keepLines w:val="0"/>
        <w:pageBreakBefore w:val="0"/>
        <w:widowControl/>
        <w:suppressLineNumbers w:val="0"/>
        <w:kinsoku/>
        <w:overflowPunct/>
        <w:topLinePunct w:val="0"/>
        <w:autoSpaceDE/>
        <w:autoSpaceDN/>
        <w:bidi w:val="0"/>
        <w:spacing w:before="0" w:beforeLines="0" w:beforeAutospacing="0" w:after="0" w:afterLines="0" w:afterAutospacing="0" w:line="360" w:lineRule="atLeast"/>
        <w:ind w:left="0" w:leftChars="0"/>
        <w:jc w:val="left"/>
        <w:rPr>
          <w:rStyle w:val="18"/>
          <w:rFonts w:hint="eastAsia" w:ascii="宋体" w:hAnsi="宋体" w:eastAsia="宋体" w:cs="宋体"/>
          <w:color w:val="auto"/>
          <w:sz w:val="24"/>
          <w:szCs w:val="24"/>
        </w:rPr>
      </w:pPr>
      <w:r>
        <w:rPr>
          <w:rStyle w:val="18"/>
          <w:rFonts w:hint="eastAsia" w:ascii="宋体" w:hAnsi="宋体" w:eastAsia="宋体" w:cs="宋体"/>
          <w:color w:val="auto"/>
          <w:sz w:val="24"/>
          <w:szCs w:val="24"/>
        </w:rPr>
        <w:br w:type="textWrapping"/>
      </w:r>
    </w:p>
    <w:p w14:paraId="56150EB1">
      <w:pPr>
        <w:pStyle w:val="6"/>
        <w:rPr>
          <w:rFonts w:hint="eastAsia"/>
          <w:color w:val="auto"/>
        </w:rPr>
      </w:pPr>
    </w:p>
    <w:p w14:paraId="296A0A94"/>
    <w:p w14:paraId="17CF6FB2"/>
    <w:p w14:paraId="6A4C995C"/>
    <w:p w14:paraId="24CD56C8">
      <w:pPr>
        <w:pStyle w:val="20"/>
        <w:rPr>
          <w:rFonts w:ascii="宋体" w:hAnsi="宋体" w:eastAsia="宋体" w:cs="宋体"/>
          <w:color w:val="auto"/>
        </w:rPr>
      </w:pPr>
    </w:p>
    <w:p w14:paraId="32CD89B0">
      <w:pPr>
        <w:pStyle w:val="20"/>
        <w:rPr>
          <w:rFonts w:ascii="宋体" w:hAnsi="宋体" w:eastAsia="宋体" w:cs="宋体"/>
          <w:color w:val="auto"/>
        </w:rPr>
      </w:pPr>
    </w:p>
    <w:p w14:paraId="529CE020">
      <w:pPr>
        <w:pStyle w:val="20"/>
        <w:rPr>
          <w:rFonts w:ascii="宋体" w:hAnsi="宋体" w:eastAsia="宋体" w:cs="宋体"/>
          <w:color w:val="auto"/>
        </w:rPr>
      </w:pPr>
    </w:p>
    <w:p w14:paraId="205A878C">
      <w:pPr>
        <w:pStyle w:val="20"/>
        <w:rPr>
          <w:rFonts w:ascii="宋体" w:hAnsi="宋体" w:eastAsia="宋体" w:cs="宋体"/>
          <w:color w:val="auto"/>
        </w:rPr>
      </w:pPr>
    </w:p>
    <w:p w14:paraId="476EBE10">
      <w:pPr>
        <w:pStyle w:val="20"/>
        <w:rPr>
          <w:rFonts w:ascii="宋体" w:hAnsi="宋体" w:eastAsia="宋体" w:cs="宋体"/>
          <w:color w:val="auto"/>
        </w:rPr>
      </w:pPr>
    </w:p>
    <w:p w14:paraId="6058C0C8">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firstLine="0" w:firstLineChars="0"/>
        <w:jc w:val="left"/>
        <w:rPr>
          <w:rFonts w:hint="eastAsia" w:ascii="宋体" w:hAnsi="宋体" w:eastAsia="宋体" w:cs="宋体"/>
          <w:color w:val="auto"/>
          <w:sz w:val="28"/>
          <w:szCs w:val="28"/>
        </w:rPr>
      </w:pPr>
      <w:r>
        <w:rPr>
          <w:rStyle w:val="18"/>
          <w:rFonts w:hint="eastAsia" w:ascii="宋体" w:hAnsi="宋体" w:eastAsia="宋体" w:cs="宋体"/>
          <w:color w:val="auto"/>
          <w:sz w:val="28"/>
          <w:szCs w:val="28"/>
        </w:rPr>
        <w:t>附件</w:t>
      </w:r>
      <w:r>
        <w:rPr>
          <w:rStyle w:val="18"/>
          <w:rFonts w:hint="eastAsia" w:ascii="宋体" w:hAnsi="宋体" w:eastAsia="宋体" w:cs="宋体"/>
          <w:color w:val="auto"/>
          <w:sz w:val="28"/>
          <w:szCs w:val="28"/>
          <w:lang w:val="en-US" w:eastAsia="zh-CN"/>
        </w:rPr>
        <w:t>4</w:t>
      </w:r>
      <w:r>
        <w:rPr>
          <w:rStyle w:val="18"/>
          <w:rFonts w:hint="eastAsia" w:ascii="宋体" w:hAnsi="宋体" w:eastAsia="宋体" w:cs="宋体"/>
          <w:color w:val="auto"/>
          <w:sz w:val="28"/>
          <w:szCs w:val="28"/>
        </w:rPr>
        <w:t>：</w:t>
      </w:r>
      <w:r>
        <w:rPr>
          <w:rStyle w:val="18"/>
          <w:rFonts w:hint="eastAsia" w:ascii="宋体" w:hAnsi="宋体" w:cs="宋体"/>
          <w:color w:val="auto"/>
          <w:sz w:val="28"/>
          <w:szCs w:val="28"/>
          <w:lang w:val="en-US" w:eastAsia="zh-CN"/>
        </w:rPr>
        <w:t xml:space="preserve">          </w:t>
      </w:r>
      <w:r>
        <w:rPr>
          <w:rStyle w:val="18"/>
          <w:rFonts w:hint="eastAsia" w:ascii="宋体" w:hAnsi="宋体" w:eastAsia="宋体" w:cs="宋体"/>
          <w:color w:val="auto"/>
          <w:sz w:val="28"/>
          <w:szCs w:val="28"/>
        </w:rPr>
        <w:t>闽江公园所属园区</w:t>
      </w:r>
      <w:r>
        <w:rPr>
          <w:rStyle w:val="18"/>
          <w:rFonts w:hint="eastAsia" w:ascii="宋体" w:hAnsi="宋体" w:cs="宋体"/>
          <w:color w:val="auto"/>
          <w:sz w:val="28"/>
          <w:szCs w:val="28"/>
          <w:lang w:val="en-US" w:eastAsia="zh-CN"/>
        </w:rPr>
        <w:t>绿化养护</w:t>
      </w:r>
      <w:r>
        <w:rPr>
          <w:rStyle w:val="18"/>
          <w:rFonts w:hint="eastAsia" w:ascii="宋体" w:hAnsi="宋体" w:eastAsia="宋体" w:cs="宋体"/>
          <w:color w:val="auto"/>
          <w:sz w:val="28"/>
          <w:szCs w:val="28"/>
        </w:rPr>
        <w:t>项目考核细则</w:t>
      </w:r>
    </w:p>
    <w:p w14:paraId="5CA0AA49">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一、考核制度：考核</w:t>
      </w:r>
      <w:r>
        <w:rPr>
          <w:rFonts w:hint="eastAsia" w:ascii="宋体" w:hAnsi="宋体" w:eastAsia="宋体" w:cs="宋体"/>
          <w:color w:val="auto"/>
          <w:sz w:val="24"/>
          <w:szCs w:val="24"/>
          <w:lang w:val="en-US" w:eastAsia="zh-CN"/>
        </w:rPr>
        <w:t>组</w:t>
      </w:r>
      <w:r>
        <w:rPr>
          <w:rFonts w:hint="eastAsia" w:ascii="宋体" w:hAnsi="宋体" w:eastAsia="宋体" w:cs="宋体"/>
          <w:color w:val="auto"/>
          <w:sz w:val="24"/>
          <w:szCs w:val="24"/>
        </w:rPr>
        <w:t>由甲方组成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花海管理</w:t>
      </w:r>
      <w:r>
        <w:rPr>
          <w:rFonts w:hint="eastAsia" w:ascii="宋体" w:hAnsi="宋体" w:eastAsia="宋体" w:cs="宋体"/>
          <w:color w:val="auto"/>
          <w:sz w:val="24"/>
          <w:szCs w:val="24"/>
        </w:rPr>
        <w:t>科日常管理考评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园建科、处领导不定期进行抽查，抽查结果计入当月评分标准。</w:t>
      </w:r>
    </w:p>
    <w:p w14:paraId="62E9B52A">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二、考核次数：</w:t>
      </w:r>
      <w:r>
        <w:rPr>
          <w:rFonts w:hint="eastAsia" w:ascii="宋体" w:hAnsi="宋体" w:cs="宋体"/>
          <w:color w:val="auto"/>
          <w:sz w:val="24"/>
          <w:szCs w:val="24"/>
          <w:lang w:val="en-US" w:eastAsia="zh-CN"/>
        </w:rPr>
        <w:t>考核</w:t>
      </w:r>
      <w:r>
        <w:rPr>
          <w:rFonts w:hint="eastAsia" w:ascii="宋体" w:hAnsi="宋体" w:eastAsia="宋体" w:cs="宋体"/>
          <w:color w:val="auto"/>
          <w:sz w:val="24"/>
          <w:szCs w:val="24"/>
        </w:rPr>
        <w:t>组对乙方的考核每月一次，日常考评组为每周一次，采取不定时不定点考核。</w:t>
      </w:r>
    </w:p>
    <w:p w14:paraId="248149CE">
      <w:pPr>
        <w:pStyle w:val="20"/>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三、检查内容：</w:t>
      </w:r>
      <w:r>
        <w:rPr>
          <w:rFonts w:hint="eastAsia" w:ascii="宋体" w:hAnsi="宋体" w:eastAsia="宋体" w:cs="宋体"/>
          <w:color w:val="auto"/>
          <w:kern w:val="2"/>
          <w:sz w:val="24"/>
          <w:szCs w:val="24"/>
          <w:lang w:val="en-US" w:eastAsia="zh-CN" w:bidi="ar-SA"/>
        </w:rPr>
        <w:t>两级考核组根据《福州市市管公园绿化分级养护质量标准及评分细则（试行）</w:t>
      </w:r>
      <w:r>
        <w:rPr>
          <w:rFonts w:hint="eastAsia" w:ascii="宋体" w:hAnsi="宋体" w:eastAsia="宋体" w:cs="宋体"/>
          <w:color w:val="auto"/>
          <w:sz w:val="24"/>
          <w:szCs w:val="24"/>
        </w:rPr>
        <w:t>》(附件1)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闽江公园草花播种督查考核登记表(附件</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闽江公园所属园区草花播种项目质量考核标准与评分依据(附件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)对乙方进行考核，同时检查乙方制度执行情况并填写《考核登记表》，一式两份，经双方签字后各执一份。如乙方拒绝签收，由考核人员现场取证后做为考核依据。</w:t>
      </w:r>
    </w:p>
    <w:p w14:paraId="7900CF8C">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四、计算方法：每月考核时间为</w:t>
      </w:r>
      <w:r>
        <w:rPr>
          <w:rFonts w:hint="eastAsia" w:ascii="宋体" w:hAnsi="宋体" w:eastAsia="宋体" w:cs="宋体"/>
          <w:color w:val="auto"/>
          <w:sz w:val="24"/>
          <w:szCs w:val="24"/>
          <w:lang w:val="en-US" w:eastAsia="zh-CN"/>
        </w:rPr>
        <w:t>合同期内的每个自然月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考核评分</w:t>
      </w:r>
      <w:r>
        <w:rPr>
          <w:rFonts w:hint="eastAsia" w:ascii="宋体" w:hAnsi="宋体" w:eastAsia="宋体" w:cs="宋体"/>
          <w:color w:val="auto"/>
          <w:sz w:val="24"/>
          <w:szCs w:val="24"/>
        </w:rPr>
        <w:t>作为每月承包费结算的依据。</w:t>
      </w:r>
    </w:p>
    <w:p w14:paraId="583CDE32">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五、档案管理：甲方要建立完善的内部日常检查制度和台账，并把检查结果备案。</w:t>
      </w:r>
    </w:p>
    <w:p w14:paraId="2CD7ADAE">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六、评定办法：</w:t>
      </w:r>
      <w:r>
        <w:rPr>
          <w:rFonts w:hint="eastAsia" w:ascii="宋体" w:hAnsi="宋体" w:cs="宋体"/>
          <w:color w:val="auto"/>
          <w:sz w:val="24"/>
          <w:szCs w:val="24"/>
          <w:lang w:val="en-US" w:eastAsia="zh-CN"/>
        </w:rPr>
        <w:t>考核实行百分制，</w:t>
      </w:r>
      <w:r>
        <w:rPr>
          <w:rFonts w:hint="eastAsia" w:ascii="宋体" w:hAnsi="宋体" w:eastAsia="宋体" w:cs="宋体"/>
          <w:color w:val="auto"/>
          <w:sz w:val="24"/>
          <w:szCs w:val="24"/>
        </w:rPr>
        <w:t>按照下列得分评定等级，给予相应支付。</w:t>
      </w:r>
    </w:p>
    <w:p w14:paraId="65839345">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firstLine="604" w:firstLineChars="252"/>
        <w:jc w:val="left"/>
        <w:rPr>
          <w:rFonts w:hint="eastAsia" w:ascii="宋体" w:hAnsi="宋体" w:eastAsia="宋体" w:cs="宋体"/>
          <w:color w:val="auto"/>
          <w:sz w:val="24"/>
          <w:szCs w:val="24"/>
        </w:rPr>
      </w:pPr>
      <w:r>
        <w:rPr>
          <w:rFonts w:hint="eastAsia" w:ascii="宋体" w:hAnsi="宋体" w:eastAsia="宋体" w:cs="宋体"/>
          <w:color w:val="auto"/>
          <w:sz w:val="24"/>
          <w:szCs w:val="24"/>
        </w:rPr>
        <w:t>花海公园将每周对绿化养护进行质量考核评分，并记录扣分情况，</w:t>
      </w:r>
      <w:r>
        <w:rPr>
          <w:rFonts w:hint="eastAsia" w:ascii="宋体" w:hAnsi="宋体" w:eastAsia="宋体" w:cs="宋体"/>
          <w:color w:val="auto"/>
          <w:sz w:val="24"/>
          <w:szCs w:val="24"/>
          <w:lang w:eastAsia="zh-CN"/>
        </w:rPr>
        <w:t>每月考评不少于</w:t>
      </w:r>
      <w:r>
        <w:rPr>
          <w:rFonts w:hint="eastAsia" w:ascii="宋体" w:hAnsi="宋体" w:eastAsia="宋体" w:cs="宋体"/>
          <w:color w:val="auto"/>
          <w:sz w:val="24"/>
          <w:szCs w:val="24"/>
          <w:lang w:val="en-US" w:eastAsia="zh-CN"/>
        </w:rPr>
        <w:t>4次，</w:t>
      </w:r>
      <w:r>
        <w:rPr>
          <w:rFonts w:hint="eastAsia" w:ascii="宋体" w:hAnsi="宋体" w:eastAsia="宋体" w:cs="宋体"/>
          <w:color w:val="auto"/>
          <w:sz w:val="24"/>
          <w:szCs w:val="24"/>
        </w:rPr>
        <w:t>每月汇总一次。具体细则如下：</w:t>
      </w:r>
    </w:p>
    <w:p w14:paraId="346744DE">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1.绿化养护部分：</w:t>
      </w:r>
    </w:p>
    <w:p w14:paraId="1A90B16B">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（1）考核得分≥90分，全额支付养护经费；</w:t>
      </w:r>
    </w:p>
    <w:p w14:paraId="25FDC977">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（2）85分≤考核得分＜90分的，支付养护经费的95%；</w:t>
      </w:r>
    </w:p>
    <w:p w14:paraId="15CB2424">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（3）80分≤考核得分＜85分的，支付养护经费的90%；</w:t>
      </w:r>
    </w:p>
    <w:p w14:paraId="4B236344">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（4）70分≤考核得分＜80分的，支付养护经费的80%；</w:t>
      </w:r>
    </w:p>
    <w:p w14:paraId="004B7B83">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（5）60分≤考核得分＜70分的，支付养护经费的60%；</w:t>
      </w:r>
    </w:p>
    <w:p w14:paraId="1719C740">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（6）考核得分低于60分或合同(或协议)期内累计3次考核得分低于80分的，公园管理单位有权终止合同。</w:t>
      </w:r>
    </w:p>
    <w:p w14:paraId="7DAAACF9">
      <w:pPr>
        <w:pStyle w:val="1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60" w:lineRule="atLeast"/>
        <w:ind w:left="0" w:leftChars="0"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.草花播种和养护部分：</w:t>
      </w:r>
    </w:p>
    <w:p w14:paraId="06CC160D">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rPr>
      </w:pPr>
      <w:r>
        <w:rPr>
          <w:rFonts w:hint="eastAsia" w:ascii="宋体" w:hAnsi="宋体" w:eastAsia="宋体" w:cs="宋体"/>
          <w:color w:val="auto"/>
          <w:sz w:val="24"/>
          <w:szCs w:val="24"/>
        </w:rPr>
        <w:t>（1）本期草花播种工作总评≥90分，全额拨付当</w:t>
      </w:r>
      <w:r>
        <w:rPr>
          <w:rFonts w:hint="eastAsia" w:ascii="宋体" w:hAnsi="宋体" w:eastAsia="宋体" w:cs="宋体"/>
          <w:color w:val="auto"/>
          <w:sz w:val="24"/>
          <w:szCs w:val="24"/>
          <w:lang w:val="en-US" w:eastAsia="zh-CN"/>
        </w:rPr>
        <w:t>期草花播种</w:t>
      </w:r>
      <w:r>
        <w:rPr>
          <w:rFonts w:hint="eastAsia" w:ascii="宋体" w:hAnsi="宋体" w:eastAsia="宋体" w:cs="宋体"/>
          <w:color w:val="auto"/>
          <w:sz w:val="24"/>
          <w:szCs w:val="24"/>
        </w:rPr>
        <w:t>实际作业经费；</w:t>
      </w:r>
    </w:p>
    <w:p w14:paraId="00916C28">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rPr>
      </w:pPr>
      <w:r>
        <w:rPr>
          <w:rFonts w:hint="eastAsia" w:ascii="宋体" w:hAnsi="宋体" w:eastAsia="宋体" w:cs="宋体"/>
          <w:color w:val="auto"/>
          <w:sz w:val="24"/>
          <w:szCs w:val="24"/>
        </w:rPr>
        <w:t>（2）85</w:t>
      </w:r>
      <w:r>
        <w:rPr>
          <w:rFonts w:hint="eastAsia" w:ascii="宋体" w:hAnsi="宋体" w:eastAsia="宋体" w:cs="宋体"/>
          <w:color w:val="auto"/>
          <w:sz w:val="24"/>
          <w:szCs w:val="24"/>
          <w:shd w:val="clear" w:color="auto" w:fill="FFFFFF"/>
        </w:rPr>
        <w:t>分≤本期草花播种工作总评＜90分的，扣除当</w:t>
      </w:r>
      <w:r>
        <w:rPr>
          <w:rFonts w:hint="eastAsia" w:ascii="宋体" w:hAnsi="宋体" w:eastAsia="宋体" w:cs="宋体"/>
          <w:color w:val="auto"/>
          <w:sz w:val="24"/>
          <w:szCs w:val="24"/>
          <w:lang w:val="en-US" w:eastAsia="zh-CN"/>
        </w:rPr>
        <w:t>期草花播种</w:t>
      </w:r>
      <w:r>
        <w:rPr>
          <w:rFonts w:hint="eastAsia" w:ascii="宋体" w:hAnsi="宋体" w:eastAsia="宋体" w:cs="宋体"/>
          <w:color w:val="auto"/>
          <w:sz w:val="24"/>
          <w:szCs w:val="24"/>
          <w:shd w:val="clear" w:color="auto" w:fill="FFFFFF"/>
        </w:rPr>
        <w:t>实际作业经费的5%，拨付当</w:t>
      </w:r>
      <w:r>
        <w:rPr>
          <w:rFonts w:hint="eastAsia" w:ascii="宋体" w:hAnsi="宋体" w:eastAsia="宋体" w:cs="宋体"/>
          <w:color w:val="auto"/>
          <w:sz w:val="24"/>
          <w:szCs w:val="24"/>
          <w:lang w:val="en-US" w:eastAsia="zh-CN"/>
        </w:rPr>
        <w:t>期草花播种</w:t>
      </w:r>
      <w:r>
        <w:rPr>
          <w:rFonts w:hint="eastAsia" w:ascii="宋体" w:hAnsi="宋体" w:eastAsia="宋体" w:cs="宋体"/>
          <w:color w:val="auto"/>
          <w:sz w:val="24"/>
          <w:szCs w:val="24"/>
          <w:shd w:val="clear" w:color="auto" w:fill="FFFFFF"/>
        </w:rPr>
        <w:t>实际作业经费的95%；</w:t>
      </w:r>
    </w:p>
    <w:p w14:paraId="198871F0">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rPr>
      </w:pPr>
      <w:r>
        <w:rPr>
          <w:rFonts w:hint="eastAsia" w:ascii="宋体" w:hAnsi="宋体" w:eastAsia="宋体" w:cs="宋体"/>
          <w:color w:val="auto"/>
          <w:sz w:val="24"/>
          <w:szCs w:val="24"/>
        </w:rPr>
        <w:t>（3）本期草花播种工作总评＜85分的，扣除当</w:t>
      </w:r>
      <w:r>
        <w:rPr>
          <w:rFonts w:hint="eastAsia" w:ascii="宋体" w:hAnsi="宋体" w:eastAsia="宋体" w:cs="宋体"/>
          <w:color w:val="auto"/>
          <w:sz w:val="24"/>
          <w:szCs w:val="24"/>
          <w:lang w:val="en-US" w:eastAsia="zh-CN"/>
        </w:rPr>
        <w:t>期草花播种</w:t>
      </w:r>
      <w:r>
        <w:rPr>
          <w:rFonts w:hint="eastAsia" w:ascii="宋体" w:hAnsi="宋体" w:eastAsia="宋体" w:cs="宋体"/>
          <w:color w:val="auto"/>
          <w:sz w:val="24"/>
          <w:szCs w:val="24"/>
        </w:rPr>
        <w:t>实际作业经费的10%，拨付当</w:t>
      </w:r>
      <w:r>
        <w:rPr>
          <w:rFonts w:hint="eastAsia" w:ascii="宋体" w:hAnsi="宋体" w:eastAsia="宋体" w:cs="宋体"/>
          <w:color w:val="auto"/>
          <w:sz w:val="24"/>
          <w:szCs w:val="24"/>
          <w:lang w:val="en-US" w:eastAsia="zh-CN"/>
        </w:rPr>
        <w:t>期草花播种</w:t>
      </w:r>
      <w:r>
        <w:rPr>
          <w:rFonts w:hint="eastAsia" w:ascii="宋体" w:hAnsi="宋体" w:eastAsia="宋体" w:cs="宋体"/>
          <w:color w:val="auto"/>
          <w:sz w:val="24"/>
          <w:szCs w:val="24"/>
        </w:rPr>
        <w:t>实际作业经费的90%。</w:t>
      </w:r>
    </w:p>
    <w:p w14:paraId="42E9E54E">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80"/>
        <w:rPr>
          <w:rFonts w:hint="eastAsia" w:ascii="宋体" w:hAnsi="宋体" w:eastAsia="宋体" w:cs="宋体"/>
          <w:color w:val="auto"/>
          <w:sz w:val="24"/>
          <w:szCs w:val="24"/>
        </w:rPr>
      </w:pPr>
      <w:r>
        <w:rPr>
          <w:rFonts w:hint="eastAsia" w:ascii="宋体" w:hAnsi="宋体" w:eastAsia="宋体" w:cs="宋体"/>
          <w:color w:val="auto"/>
          <w:sz w:val="24"/>
          <w:szCs w:val="24"/>
        </w:rPr>
        <w:t>（4）本期草花播种工作总评</w:t>
      </w:r>
      <w:r>
        <w:rPr>
          <w:rFonts w:hint="eastAsia" w:ascii="宋体" w:hAnsi="宋体" w:eastAsia="宋体" w:cs="宋体"/>
          <w:color w:val="auto"/>
          <w:sz w:val="24"/>
          <w:szCs w:val="24"/>
          <w:shd w:val="clear" w:color="auto" w:fill="FFFFFF"/>
        </w:rPr>
        <w:t>在80分以下为不合格，</w:t>
      </w:r>
      <w:r>
        <w:rPr>
          <w:rFonts w:hint="eastAsia" w:ascii="宋体" w:hAnsi="宋体" w:eastAsia="宋体" w:cs="宋体"/>
          <w:color w:val="auto"/>
          <w:sz w:val="24"/>
          <w:szCs w:val="24"/>
        </w:rPr>
        <w:t>除按第(3)条惩处外，采购人向中标人负责人提交书面警告书，限令3日内整改到位，并要求下</w:t>
      </w:r>
      <w:r>
        <w:rPr>
          <w:rFonts w:hint="eastAsia" w:ascii="宋体" w:hAnsi="宋体" w:eastAsia="宋体" w:cs="宋体"/>
          <w:color w:val="auto"/>
          <w:sz w:val="24"/>
          <w:szCs w:val="24"/>
          <w:lang w:val="en-US" w:eastAsia="zh-CN"/>
        </w:rPr>
        <w:t>期</w:t>
      </w:r>
      <w:r>
        <w:rPr>
          <w:rFonts w:hint="eastAsia" w:ascii="宋体" w:hAnsi="宋体" w:eastAsia="宋体" w:cs="宋体"/>
          <w:color w:val="auto"/>
          <w:sz w:val="24"/>
          <w:szCs w:val="24"/>
        </w:rPr>
        <w:t>达到良好以上。</w:t>
      </w:r>
    </w:p>
    <w:p w14:paraId="040F46FA">
      <w:pPr>
        <w:pStyle w:val="20"/>
        <w:keepNext w:val="0"/>
        <w:keepLines w:val="0"/>
        <w:pageBreakBefore w:val="0"/>
        <w:widowControl/>
        <w:kinsoku/>
        <w:wordWrap/>
        <w:overflowPunct/>
        <w:topLinePunct w:val="0"/>
        <w:autoSpaceDE/>
        <w:autoSpaceDN/>
        <w:bidi w:val="0"/>
        <w:adjustRightInd w:val="0"/>
        <w:snapToGrid w:val="0"/>
        <w:spacing w:beforeAutospacing="0" w:afterAutospacing="0" w:line="360" w:lineRule="atLeast"/>
        <w:ind w:left="0" w:leftChars="0" w:firstLine="405"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5）中标人本期草花播种工作总评低于60分或合同(或协议)期内累计3次本期草花播种工作总评得分低于80分的，采购人有权终止合同(或协议)并没收履约保证金的50%～100%，中标人须无条件按采购人要求办理移交、退场手续。</w:t>
      </w:r>
    </w:p>
    <w:p w14:paraId="3A333BBB">
      <w:pPr>
        <w:pStyle w:val="20"/>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遇国家、省、市、局相关检查，中标人绿化养护服务工作相关处罚细则：在一个合同期限内，采购人因绿化养护工作违反合同规定被黄牌通报或被通报整改的，采购人下达第一次书面整改通知并处以5000元罚金，罚金直接从当季绿化养护经费中扣除；若因中标人未按规定时间内整改到位，采购人被通报整改2次，采购人下达第二次书面整改通知处并以10000元罚金，罚金直接从当季绿化养护经费中扣除；采购人因绿化养护工作被黄牌警告2次或被通报整改3次，采购人有权终止合同、没收履约保证金并处以20000元罚金，罚金直接从当季绿化养护经费中扣除；采购人因绿化养护工作被红牌警告1次，采购人有权终止合同并处以50000元罚金，罚金直接从当季绿化养护经费中扣除并罚没履约保证金；如在日常工作中机械、车辆未应采购人要求到场，采购人有权视情况进行扣款处罚，机械按每次500元/件，车辆按每次2000元/辆进行扣款，在当季绿化养护经费中直接扣除并在当期考核周期中进行扣分；如在抢险救灾时未及时响应采购人要求，采购人有权视情况进行扣款处罚，人员按每次500元/人，机械按每次1000元/件，车辆按每次3000元/辆进行扣款，在当季绿化养护经费中直接扣除并在当期考核周期中进行扣分。</w:t>
      </w:r>
    </w:p>
    <w:p w14:paraId="2FDFC0AE">
      <w:pPr>
        <w:pStyle w:val="20"/>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4.关于数字城管、12345投诉、媒体曝光等投诉的相关处罚细则：</w:t>
      </w:r>
    </w:p>
    <w:p w14:paraId="69571097">
      <w:pPr>
        <w:pStyle w:val="20"/>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城管和12345的案件接件由采购人负责，中标人按规定时间书面反馈及处理。若因中标人未按规定时间内整改到位，采购人再次接到相同的投诉，对中标人处以500元罚款，直接从当月绿化养护经费中扣除。若因中标人未按规定时间内整改到位，采购人受到处罚，采购人有权终止合同并视情对中标人处以采购人罚金1-2倍数额的处罚，罚金由履约保证金中扣除，不足部分采购人可向中标人要求进行经济赔偿。</w:t>
      </w:r>
    </w:p>
    <w:p w14:paraId="3F5E8A19">
      <w:pPr>
        <w:pStyle w:val="20"/>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5.中标人派遣的作业人员有以下突出表现的,采购人视情况予以通报表扬及100元至 1000元奖励。采购人对中标人派遣的作业人员所做出的奖励决定，按采购人的通知在当月绿化养护经费中进行增加支付，当事作业人员的奖励由中标人自行安排落实到位。中标人应根据采购人的要求开具相应金额的服务费发票。</w:t>
      </w:r>
    </w:p>
    <w:p w14:paraId="661727A0">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积极抢险救灾中为群众排忧解难，受到单位或群众来信表扬、锦旗奖励的；</w:t>
      </w:r>
    </w:p>
    <w:p w14:paraId="20170341">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工作表现突出，受到各级领导或媒体通报表扬的；</w:t>
      </w:r>
    </w:p>
    <w:p w14:paraId="758A7E18">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有见义勇为行为的(以公园管理处或公安机关出具的证明材料为准)；</w:t>
      </w:r>
    </w:p>
    <w:p w14:paraId="6721B53D">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tLeas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其它表现突出应予以奖励的事项。</w:t>
      </w:r>
    </w:p>
    <w:p w14:paraId="1A418AEC">
      <w:pPr>
        <w:pStyle w:val="12"/>
        <w:keepNext w:val="0"/>
        <w:keepLines w:val="0"/>
        <w:pageBreakBefore w:val="0"/>
        <w:widowControl/>
        <w:kinsoku/>
        <w:wordWrap/>
        <w:overflowPunct/>
        <w:topLinePunct w:val="0"/>
        <w:autoSpaceDE/>
        <w:autoSpaceDN/>
        <w:bidi w:val="0"/>
        <w:spacing w:before="0" w:beforeLines="0" w:beforeAutospacing="0" w:after="0" w:afterLines="0" w:afterAutospacing="0" w:line="360" w:lineRule="atLeast"/>
        <w:ind w:left="0" w:leftChars="0" w:firstLine="0"/>
        <w:rPr>
          <w:rFonts w:hint="eastAsia" w:ascii="宋体" w:hAnsi="宋体" w:eastAsia="宋体" w:cs="宋体"/>
          <w:color w:val="auto"/>
          <w:sz w:val="24"/>
          <w:szCs w:val="24"/>
        </w:rPr>
      </w:pPr>
    </w:p>
    <w:p w14:paraId="030F6BDF">
      <w:pPr>
        <w:pStyle w:val="20"/>
        <w:rPr>
          <w:rFonts w:ascii="宋体" w:hAnsi="宋体" w:eastAsia="宋体" w:cs="宋体"/>
          <w:color w:val="auto"/>
        </w:rPr>
      </w:pPr>
    </w:p>
    <w:sectPr>
      <w:footerReference r:id="rId4" w:type="default"/>
      <w:pgSz w:w="11906" w:h="16838"/>
      <w:pgMar w:top="1587" w:right="1020" w:bottom="1587" w:left="1020"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760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48C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048C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D86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9E0BF">
                          <w:pPr>
                            <w:pStyle w:val="1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A9E0BF">
                    <w:pPr>
                      <w:pStyle w:val="1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91F53"/>
    <w:multiLevelType w:val="singleLevel"/>
    <w:tmpl w:val="1D191F53"/>
    <w:lvl w:ilvl="0" w:tentative="0">
      <w:start w:val="1"/>
      <w:numFmt w:val="decimal"/>
      <w:suff w:val="nothing"/>
      <w:lvlText w:val="（%1）"/>
      <w:lvlJc w:val="left"/>
    </w:lvl>
  </w:abstractNum>
  <w:abstractNum w:abstractNumId="1">
    <w:nsid w:val="61BE9F76"/>
    <w:multiLevelType w:val="singleLevel"/>
    <w:tmpl w:val="61BE9F7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43DFE"/>
    <w:rsid w:val="0010671F"/>
    <w:rsid w:val="0047149C"/>
    <w:rsid w:val="006F552F"/>
    <w:rsid w:val="00701DF3"/>
    <w:rsid w:val="00830404"/>
    <w:rsid w:val="00EF6CE1"/>
    <w:rsid w:val="01240ED1"/>
    <w:rsid w:val="015F6D3D"/>
    <w:rsid w:val="01691BDB"/>
    <w:rsid w:val="0181076C"/>
    <w:rsid w:val="01A11375"/>
    <w:rsid w:val="01F31130"/>
    <w:rsid w:val="01FB2325"/>
    <w:rsid w:val="021C47F2"/>
    <w:rsid w:val="0350682F"/>
    <w:rsid w:val="03FE7EAB"/>
    <w:rsid w:val="048F7B35"/>
    <w:rsid w:val="04D74216"/>
    <w:rsid w:val="04D82B1A"/>
    <w:rsid w:val="04DD58FD"/>
    <w:rsid w:val="052D4EEB"/>
    <w:rsid w:val="05557F9E"/>
    <w:rsid w:val="05BD626F"/>
    <w:rsid w:val="05C90A34"/>
    <w:rsid w:val="05F15D2C"/>
    <w:rsid w:val="06301D1C"/>
    <w:rsid w:val="06566CC5"/>
    <w:rsid w:val="06707E29"/>
    <w:rsid w:val="06941B12"/>
    <w:rsid w:val="06A427E2"/>
    <w:rsid w:val="06D900C9"/>
    <w:rsid w:val="07162680"/>
    <w:rsid w:val="0788481D"/>
    <w:rsid w:val="08086D67"/>
    <w:rsid w:val="082A5712"/>
    <w:rsid w:val="085A276B"/>
    <w:rsid w:val="08713415"/>
    <w:rsid w:val="0884405E"/>
    <w:rsid w:val="0884635F"/>
    <w:rsid w:val="08EC0889"/>
    <w:rsid w:val="093D3B92"/>
    <w:rsid w:val="096B1601"/>
    <w:rsid w:val="097F782F"/>
    <w:rsid w:val="09B069F3"/>
    <w:rsid w:val="0A1755E4"/>
    <w:rsid w:val="0A7B3A8F"/>
    <w:rsid w:val="0A8D6FBA"/>
    <w:rsid w:val="0A9B6453"/>
    <w:rsid w:val="0AA140F6"/>
    <w:rsid w:val="0AD66CF4"/>
    <w:rsid w:val="0B860EB1"/>
    <w:rsid w:val="0BAF7A69"/>
    <w:rsid w:val="0BDE0828"/>
    <w:rsid w:val="0BF725E5"/>
    <w:rsid w:val="0CC94C09"/>
    <w:rsid w:val="0D1C039E"/>
    <w:rsid w:val="0D57585C"/>
    <w:rsid w:val="0E215F2D"/>
    <w:rsid w:val="0E386ACC"/>
    <w:rsid w:val="0EA0364B"/>
    <w:rsid w:val="0EA916EF"/>
    <w:rsid w:val="0EB44636"/>
    <w:rsid w:val="0F314D14"/>
    <w:rsid w:val="0FCB233D"/>
    <w:rsid w:val="0FD66E76"/>
    <w:rsid w:val="1024354F"/>
    <w:rsid w:val="10846F49"/>
    <w:rsid w:val="10B554B0"/>
    <w:rsid w:val="10E07932"/>
    <w:rsid w:val="10E26B62"/>
    <w:rsid w:val="115632A4"/>
    <w:rsid w:val="116C34B8"/>
    <w:rsid w:val="117356A4"/>
    <w:rsid w:val="1182211B"/>
    <w:rsid w:val="122A233A"/>
    <w:rsid w:val="123C49C0"/>
    <w:rsid w:val="12E353DE"/>
    <w:rsid w:val="14096B23"/>
    <w:rsid w:val="140C7249"/>
    <w:rsid w:val="144A7030"/>
    <w:rsid w:val="144D47E6"/>
    <w:rsid w:val="14CD4BF3"/>
    <w:rsid w:val="14CE1717"/>
    <w:rsid w:val="15317102"/>
    <w:rsid w:val="159F568F"/>
    <w:rsid w:val="15AC2F07"/>
    <w:rsid w:val="161B25E6"/>
    <w:rsid w:val="162E7DA7"/>
    <w:rsid w:val="16EC5DFF"/>
    <w:rsid w:val="16EF55E5"/>
    <w:rsid w:val="177F50ED"/>
    <w:rsid w:val="17A90236"/>
    <w:rsid w:val="18546F37"/>
    <w:rsid w:val="188517E2"/>
    <w:rsid w:val="18C226C3"/>
    <w:rsid w:val="18D27C53"/>
    <w:rsid w:val="19042D08"/>
    <w:rsid w:val="19052602"/>
    <w:rsid w:val="19847F91"/>
    <w:rsid w:val="19EF05DE"/>
    <w:rsid w:val="1A04583F"/>
    <w:rsid w:val="1A2E11E7"/>
    <w:rsid w:val="1A5B0D73"/>
    <w:rsid w:val="1A6B1BEE"/>
    <w:rsid w:val="1A7F47FD"/>
    <w:rsid w:val="1A8919AC"/>
    <w:rsid w:val="1AC11A9C"/>
    <w:rsid w:val="1ADC0ACA"/>
    <w:rsid w:val="1AF5625D"/>
    <w:rsid w:val="1B09558E"/>
    <w:rsid w:val="1B4056A5"/>
    <w:rsid w:val="1BAA235A"/>
    <w:rsid w:val="1C054074"/>
    <w:rsid w:val="1C330D81"/>
    <w:rsid w:val="1C664547"/>
    <w:rsid w:val="1C9E1527"/>
    <w:rsid w:val="1CB81773"/>
    <w:rsid w:val="1CC33F4A"/>
    <w:rsid w:val="1D1B1B6E"/>
    <w:rsid w:val="1D282C46"/>
    <w:rsid w:val="1D6C231B"/>
    <w:rsid w:val="1DCE503A"/>
    <w:rsid w:val="1E6B7566"/>
    <w:rsid w:val="1ED1030F"/>
    <w:rsid w:val="1EFF102E"/>
    <w:rsid w:val="1FA573FB"/>
    <w:rsid w:val="1FF3285D"/>
    <w:rsid w:val="201541C3"/>
    <w:rsid w:val="201D2D1F"/>
    <w:rsid w:val="20614472"/>
    <w:rsid w:val="20791A37"/>
    <w:rsid w:val="212570D4"/>
    <w:rsid w:val="2154093B"/>
    <w:rsid w:val="216914F8"/>
    <w:rsid w:val="21745B1D"/>
    <w:rsid w:val="21D40771"/>
    <w:rsid w:val="21F55BDB"/>
    <w:rsid w:val="22BA7B1B"/>
    <w:rsid w:val="22BC71E8"/>
    <w:rsid w:val="22DD0138"/>
    <w:rsid w:val="22F369D5"/>
    <w:rsid w:val="23361EE4"/>
    <w:rsid w:val="234D3A9E"/>
    <w:rsid w:val="23590EB0"/>
    <w:rsid w:val="240563D3"/>
    <w:rsid w:val="240D3609"/>
    <w:rsid w:val="24247062"/>
    <w:rsid w:val="24961788"/>
    <w:rsid w:val="249F5100"/>
    <w:rsid w:val="24EA3E07"/>
    <w:rsid w:val="24F353B2"/>
    <w:rsid w:val="25670E64"/>
    <w:rsid w:val="25FA396D"/>
    <w:rsid w:val="26315FB0"/>
    <w:rsid w:val="264A6738"/>
    <w:rsid w:val="26F56884"/>
    <w:rsid w:val="273B31FB"/>
    <w:rsid w:val="276F635B"/>
    <w:rsid w:val="278E5EE6"/>
    <w:rsid w:val="278F52F3"/>
    <w:rsid w:val="27954FA5"/>
    <w:rsid w:val="27D019DA"/>
    <w:rsid w:val="281E2746"/>
    <w:rsid w:val="28291218"/>
    <w:rsid w:val="28350FE6"/>
    <w:rsid w:val="28600653"/>
    <w:rsid w:val="286B342A"/>
    <w:rsid w:val="28797CBB"/>
    <w:rsid w:val="28C82719"/>
    <w:rsid w:val="29031C5E"/>
    <w:rsid w:val="293466D4"/>
    <w:rsid w:val="294A746A"/>
    <w:rsid w:val="29712788"/>
    <w:rsid w:val="29714992"/>
    <w:rsid w:val="299A22BA"/>
    <w:rsid w:val="2A1E1D57"/>
    <w:rsid w:val="2B1F6F41"/>
    <w:rsid w:val="2B62521D"/>
    <w:rsid w:val="2B7E7818"/>
    <w:rsid w:val="2BA62DC5"/>
    <w:rsid w:val="2BCF16CC"/>
    <w:rsid w:val="2BDF2083"/>
    <w:rsid w:val="2BFC187E"/>
    <w:rsid w:val="2C1D710C"/>
    <w:rsid w:val="2C650B33"/>
    <w:rsid w:val="2C6B7F24"/>
    <w:rsid w:val="2CE00E41"/>
    <w:rsid w:val="2D0A14EA"/>
    <w:rsid w:val="2DB46201"/>
    <w:rsid w:val="2DFD4C63"/>
    <w:rsid w:val="2E116FB9"/>
    <w:rsid w:val="2E482C13"/>
    <w:rsid w:val="2E9E7EAD"/>
    <w:rsid w:val="2EE14F23"/>
    <w:rsid w:val="2EED7076"/>
    <w:rsid w:val="2F136AA5"/>
    <w:rsid w:val="2F2A2F03"/>
    <w:rsid w:val="2F4139BC"/>
    <w:rsid w:val="2F511653"/>
    <w:rsid w:val="2F672FD7"/>
    <w:rsid w:val="2FB51D87"/>
    <w:rsid w:val="2FC30101"/>
    <w:rsid w:val="2FEF49C8"/>
    <w:rsid w:val="2FF12F3C"/>
    <w:rsid w:val="30302C02"/>
    <w:rsid w:val="30376ADB"/>
    <w:rsid w:val="306E3146"/>
    <w:rsid w:val="308977DE"/>
    <w:rsid w:val="30D24D8B"/>
    <w:rsid w:val="30FE2C27"/>
    <w:rsid w:val="3115045E"/>
    <w:rsid w:val="319475D5"/>
    <w:rsid w:val="319F7860"/>
    <w:rsid w:val="31D552A0"/>
    <w:rsid w:val="321D4205"/>
    <w:rsid w:val="3247112A"/>
    <w:rsid w:val="327E6896"/>
    <w:rsid w:val="32965D06"/>
    <w:rsid w:val="32EC6175"/>
    <w:rsid w:val="332F6C9D"/>
    <w:rsid w:val="33456E75"/>
    <w:rsid w:val="33ED2088"/>
    <w:rsid w:val="340842AA"/>
    <w:rsid w:val="340E4C9C"/>
    <w:rsid w:val="340F719C"/>
    <w:rsid w:val="34332FBC"/>
    <w:rsid w:val="34436DD5"/>
    <w:rsid w:val="347648FC"/>
    <w:rsid w:val="3487237B"/>
    <w:rsid w:val="34F2083A"/>
    <w:rsid w:val="355A6D87"/>
    <w:rsid w:val="357B6FC6"/>
    <w:rsid w:val="35B1232E"/>
    <w:rsid w:val="35E93C67"/>
    <w:rsid w:val="35EA0EB9"/>
    <w:rsid w:val="36121749"/>
    <w:rsid w:val="362F020F"/>
    <w:rsid w:val="3665159E"/>
    <w:rsid w:val="36A42101"/>
    <w:rsid w:val="36C93C50"/>
    <w:rsid w:val="36F76722"/>
    <w:rsid w:val="37416FAB"/>
    <w:rsid w:val="375537B3"/>
    <w:rsid w:val="377F1E24"/>
    <w:rsid w:val="37A42E83"/>
    <w:rsid w:val="37B63C1C"/>
    <w:rsid w:val="37DE7363"/>
    <w:rsid w:val="37F04A9C"/>
    <w:rsid w:val="38033706"/>
    <w:rsid w:val="382E44C3"/>
    <w:rsid w:val="384F0C8B"/>
    <w:rsid w:val="38BD4016"/>
    <w:rsid w:val="38D53146"/>
    <w:rsid w:val="39047656"/>
    <w:rsid w:val="39196CB4"/>
    <w:rsid w:val="395A2BA4"/>
    <w:rsid w:val="395A7356"/>
    <w:rsid w:val="397354EE"/>
    <w:rsid w:val="39A2024F"/>
    <w:rsid w:val="3A51286A"/>
    <w:rsid w:val="3A596862"/>
    <w:rsid w:val="3A8529CA"/>
    <w:rsid w:val="3A86594E"/>
    <w:rsid w:val="3BC421E7"/>
    <w:rsid w:val="3C044F38"/>
    <w:rsid w:val="3C4E4D38"/>
    <w:rsid w:val="3C552351"/>
    <w:rsid w:val="3C843020"/>
    <w:rsid w:val="3C917532"/>
    <w:rsid w:val="3CCA0042"/>
    <w:rsid w:val="3CE856C3"/>
    <w:rsid w:val="3D3454C5"/>
    <w:rsid w:val="3D497E6A"/>
    <w:rsid w:val="3D4C5041"/>
    <w:rsid w:val="3DA94B3F"/>
    <w:rsid w:val="3DB70EB8"/>
    <w:rsid w:val="3DD35929"/>
    <w:rsid w:val="3E623625"/>
    <w:rsid w:val="3F696545"/>
    <w:rsid w:val="3FC178B2"/>
    <w:rsid w:val="402D6F51"/>
    <w:rsid w:val="40346B21"/>
    <w:rsid w:val="40445977"/>
    <w:rsid w:val="404E573A"/>
    <w:rsid w:val="40735927"/>
    <w:rsid w:val="407A6D2B"/>
    <w:rsid w:val="40966256"/>
    <w:rsid w:val="409F28B8"/>
    <w:rsid w:val="40E97C90"/>
    <w:rsid w:val="41A5038F"/>
    <w:rsid w:val="41FF1924"/>
    <w:rsid w:val="422034AE"/>
    <w:rsid w:val="42443AB2"/>
    <w:rsid w:val="42572124"/>
    <w:rsid w:val="428B3C9E"/>
    <w:rsid w:val="42D0566D"/>
    <w:rsid w:val="42D32C60"/>
    <w:rsid w:val="42FF1850"/>
    <w:rsid w:val="43120CA1"/>
    <w:rsid w:val="436445CA"/>
    <w:rsid w:val="43711B66"/>
    <w:rsid w:val="43797938"/>
    <w:rsid w:val="43F66835"/>
    <w:rsid w:val="442774E2"/>
    <w:rsid w:val="443D3AFC"/>
    <w:rsid w:val="44670079"/>
    <w:rsid w:val="447F6595"/>
    <w:rsid w:val="44BD4C3D"/>
    <w:rsid w:val="4593060C"/>
    <w:rsid w:val="45EF53BC"/>
    <w:rsid w:val="46902B32"/>
    <w:rsid w:val="471B09F2"/>
    <w:rsid w:val="47356DBC"/>
    <w:rsid w:val="47B77A6B"/>
    <w:rsid w:val="483D4758"/>
    <w:rsid w:val="484F28FD"/>
    <w:rsid w:val="489C3C76"/>
    <w:rsid w:val="48D92CFB"/>
    <w:rsid w:val="48F5466E"/>
    <w:rsid w:val="493C4382"/>
    <w:rsid w:val="49916FD6"/>
    <w:rsid w:val="49953FD9"/>
    <w:rsid w:val="49C20A32"/>
    <w:rsid w:val="49DF671C"/>
    <w:rsid w:val="49E425C0"/>
    <w:rsid w:val="4A737C27"/>
    <w:rsid w:val="4AE10B61"/>
    <w:rsid w:val="4B074E64"/>
    <w:rsid w:val="4B105D8A"/>
    <w:rsid w:val="4B7E2740"/>
    <w:rsid w:val="4B8849D2"/>
    <w:rsid w:val="4B9B03D7"/>
    <w:rsid w:val="4BCC5D64"/>
    <w:rsid w:val="4BF002D9"/>
    <w:rsid w:val="4BF422EA"/>
    <w:rsid w:val="4C4C4A13"/>
    <w:rsid w:val="4C5E5469"/>
    <w:rsid w:val="4CB80AD8"/>
    <w:rsid w:val="4CED767B"/>
    <w:rsid w:val="4D021D86"/>
    <w:rsid w:val="4D1321FE"/>
    <w:rsid w:val="4D2C5837"/>
    <w:rsid w:val="4D415CBF"/>
    <w:rsid w:val="4D581F62"/>
    <w:rsid w:val="4D797E2F"/>
    <w:rsid w:val="4D880DF6"/>
    <w:rsid w:val="4D9A2DAF"/>
    <w:rsid w:val="4D9F479C"/>
    <w:rsid w:val="4DAA1FD9"/>
    <w:rsid w:val="4DB566D1"/>
    <w:rsid w:val="4DE94B4B"/>
    <w:rsid w:val="4DEF299E"/>
    <w:rsid w:val="4E184ECF"/>
    <w:rsid w:val="4E547267"/>
    <w:rsid w:val="4E622DAA"/>
    <w:rsid w:val="4E717F0A"/>
    <w:rsid w:val="4E816CDB"/>
    <w:rsid w:val="4EB93349"/>
    <w:rsid w:val="4EC15329"/>
    <w:rsid w:val="4EF101B9"/>
    <w:rsid w:val="4F6E54B1"/>
    <w:rsid w:val="4F9F5745"/>
    <w:rsid w:val="4FD83701"/>
    <w:rsid w:val="50031494"/>
    <w:rsid w:val="503E785E"/>
    <w:rsid w:val="50593EB1"/>
    <w:rsid w:val="50F352E5"/>
    <w:rsid w:val="50F57662"/>
    <w:rsid w:val="51042065"/>
    <w:rsid w:val="51077B04"/>
    <w:rsid w:val="511A5215"/>
    <w:rsid w:val="51660A96"/>
    <w:rsid w:val="518510D7"/>
    <w:rsid w:val="51896AB9"/>
    <w:rsid w:val="51C740A8"/>
    <w:rsid w:val="522E030B"/>
    <w:rsid w:val="523D2B4E"/>
    <w:rsid w:val="52721A13"/>
    <w:rsid w:val="52790D33"/>
    <w:rsid w:val="53075418"/>
    <w:rsid w:val="53B52B8D"/>
    <w:rsid w:val="53CE03E9"/>
    <w:rsid w:val="540116D4"/>
    <w:rsid w:val="5401689E"/>
    <w:rsid w:val="55495C46"/>
    <w:rsid w:val="55574CCF"/>
    <w:rsid w:val="55A40D40"/>
    <w:rsid w:val="55E43732"/>
    <w:rsid w:val="56393283"/>
    <w:rsid w:val="56562F49"/>
    <w:rsid w:val="56D74159"/>
    <w:rsid w:val="56FE0B98"/>
    <w:rsid w:val="57151371"/>
    <w:rsid w:val="579013E4"/>
    <w:rsid w:val="57CC0FC7"/>
    <w:rsid w:val="580B6C33"/>
    <w:rsid w:val="580D3D8A"/>
    <w:rsid w:val="581A7F84"/>
    <w:rsid w:val="581B10C6"/>
    <w:rsid w:val="58221A8A"/>
    <w:rsid w:val="58325D12"/>
    <w:rsid w:val="585053F1"/>
    <w:rsid w:val="585E3C36"/>
    <w:rsid w:val="586A369A"/>
    <w:rsid w:val="588D6167"/>
    <w:rsid w:val="58E80F64"/>
    <w:rsid w:val="59057000"/>
    <w:rsid w:val="59210246"/>
    <w:rsid w:val="59417793"/>
    <w:rsid w:val="5947506D"/>
    <w:rsid w:val="5954639F"/>
    <w:rsid w:val="5966770D"/>
    <w:rsid w:val="5A3105E0"/>
    <w:rsid w:val="5A8C06D4"/>
    <w:rsid w:val="5B5D7A66"/>
    <w:rsid w:val="5BEA079F"/>
    <w:rsid w:val="5C0176B7"/>
    <w:rsid w:val="5C3B132A"/>
    <w:rsid w:val="5C4C553D"/>
    <w:rsid w:val="5C704E57"/>
    <w:rsid w:val="5C9B45B7"/>
    <w:rsid w:val="5CCB366C"/>
    <w:rsid w:val="5D622736"/>
    <w:rsid w:val="5D97147E"/>
    <w:rsid w:val="5D977B43"/>
    <w:rsid w:val="5DA657E2"/>
    <w:rsid w:val="5DDA4052"/>
    <w:rsid w:val="5DF22C2F"/>
    <w:rsid w:val="5E834007"/>
    <w:rsid w:val="5E9F5BCB"/>
    <w:rsid w:val="5EA92C0D"/>
    <w:rsid w:val="5ED01C3D"/>
    <w:rsid w:val="5ED078B3"/>
    <w:rsid w:val="5F037C44"/>
    <w:rsid w:val="5F6616E8"/>
    <w:rsid w:val="5F6C2E40"/>
    <w:rsid w:val="5F922F89"/>
    <w:rsid w:val="5FBF34CE"/>
    <w:rsid w:val="5FDC5933"/>
    <w:rsid w:val="604C7149"/>
    <w:rsid w:val="606A4530"/>
    <w:rsid w:val="615074A8"/>
    <w:rsid w:val="618C69FB"/>
    <w:rsid w:val="61901891"/>
    <w:rsid w:val="61970898"/>
    <w:rsid w:val="61BF1B9C"/>
    <w:rsid w:val="61CA4A8D"/>
    <w:rsid w:val="62400DDA"/>
    <w:rsid w:val="62530573"/>
    <w:rsid w:val="62704D7D"/>
    <w:rsid w:val="62907F28"/>
    <w:rsid w:val="62B34521"/>
    <w:rsid w:val="62BD5949"/>
    <w:rsid w:val="634039EA"/>
    <w:rsid w:val="639505F4"/>
    <w:rsid w:val="63D61E2D"/>
    <w:rsid w:val="648F78B3"/>
    <w:rsid w:val="64A86918"/>
    <w:rsid w:val="64B452BD"/>
    <w:rsid w:val="65150FF0"/>
    <w:rsid w:val="651664A6"/>
    <w:rsid w:val="653D72C9"/>
    <w:rsid w:val="65684183"/>
    <w:rsid w:val="658B42FD"/>
    <w:rsid w:val="659375D0"/>
    <w:rsid w:val="659A7D48"/>
    <w:rsid w:val="666954C7"/>
    <w:rsid w:val="66930FEB"/>
    <w:rsid w:val="67270EBB"/>
    <w:rsid w:val="674212A6"/>
    <w:rsid w:val="680B0B65"/>
    <w:rsid w:val="6811565B"/>
    <w:rsid w:val="68640FCC"/>
    <w:rsid w:val="6898534D"/>
    <w:rsid w:val="68CA3301"/>
    <w:rsid w:val="68F61C05"/>
    <w:rsid w:val="69224EEB"/>
    <w:rsid w:val="6938470E"/>
    <w:rsid w:val="696C03D9"/>
    <w:rsid w:val="697D48A2"/>
    <w:rsid w:val="69F461E1"/>
    <w:rsid w:val="6A206786"/>
    <w:rsid w:val="6A813018"/>
    <w:rsid w:val="6A955B90"/>
    <w:rsid w:val="6AAB2EFA"/>
    <w:rsid w:val="6AC16813"/>
    <w:rsid w:val="6B337CF0"/>
    <w:rsid w:val="6B7F0757"/>
    <w:rsid w:val="6B7F31B3"/>
    <w:rsid w:val="6C0A2A39"/>
    <w:rsid w:val="6CB33F44"/>
    <w:rsid w:val="6CC664D5"/>
    <w:rsid w:val="6CDE65A0"/>
    <w:rsid w:val="6CE850E7"/>
    <w:rsid w:val="6D415DD3"/>
    <w:rsid w:val="6D455FD5"/>
    <w:rsid w:val="6DCF3167"/>
    <w:rsid w:val="6DDD637E"/>
    <w:rsid w:val="6DEC505A"/>
    <w:rsid w:val="6E16524F"/>
    <w:rsid w:val="6E337B9A"/>
    <w:rsid w:val="6E46661E"/>
    <w:rsid w:val="6E5B69FB"/>
    <w:rsid w:val="6E6F3200"/>
    <w:rsid w:val="6EB44519"/>
    <w:rsid w:val="6EC61516"/>
    <w:rsid w:val="6F4F4ABE"/>
    <w:rsid w:val="6F5D69A6"/>
    <w:rsid w:val="6F7232BE"/>
    <w:rsid w:val="6FCE4F0E"/>
    <w:rsid w:val="701337DF"/>
    <w:rsid w:val="70164562"/>
    <w:rsid w:val="708D0CB7"/>
    <w:rsid w:val="70905807"/>
    <w:rsid w:val="70CC11DC"/>
    <w:rsid w:val="70EF04FE"/>
    <w:rsid w:val="71015D2D"/>
    <w:rsid w:val="71197447"/>
    <w:rsid w:val="71833A0B"/>
    <w:rsid w:val="71B356D4"/>
    <w:rsid w:val="722E059A"/>
    <w:rsid w:val="727C24A6"/>
    <w:rsid w:val="72B5493F"/>
    <w:rsid w:val="730721B1"/>
    <w:rsid w:val="731B7641"/>
    <w:rsid w:val="737547B1"/>
    <w:rsid w:val="739807F9"/>
    <w:rsid w:val="73BA5A90"/>
    <w:rsid w:val="73BB5FFC"/>
    <w:rsid w:val="73C117A4"/>
    <w:rsid w:val="74066A6C"/>
    <w:rsid w:val="741E2752"/>
    <w:rsid w:val="748702F8"/>
    <w:rsid w:val="74894880"/>
    <w:rsid w:val="748A19AB"/>
    <w:rsid w:val="74C57357"/>
    <w:rsid w:val="74D55507"/>
    <w:rsid w:val="74F83220"/>
    <w:rsid w:val="75636AF1"/>
    <w:rsid w:val="75F040F0"/>
    <w:rsid w:val="76360451"/>
    <w:rsid w:val="76921C92"/>
    <w:rsid w:val="774F2FB6"/>
    <w:rsid w:val="77623F0A"/>
    <w:rsid w:val="77740388"/>
    <w:rsid w:val="77B37656"/>
    <w:rsid w:val="77B44250"/>
    <w:rsid w:val="77E83F20"/>
    <w:rsid w:val="77F307A1"/>
    <w:rsid w:val="77F79321"/>
    <w:rsid w:val="784604CA"/>
    <w:rsid w:val="789E20B4"/>
    <w:rsid w:val="78A71225"/>
    <w:rsid w:val="78D137A0"/>
    <w:rsid w:val="79BA4CCB"/>
    <w:rsid w:val="79F24465"/>
    <w:rsid w:val="7A4F2777"/>
    <w:rsid w:val="7A5661C7"/>
    <w:rsid w:val="7BDE5175"/>
    <w:rsid w:val="7C213CD7"/>
    <w:rsid w:val="7C217284"/>
    <w:rsid w:val="7C7F1B18"/>
    <w:rsid w:val="7CBF0D60"/>
    <w:rsid w:val="7CCD740C"/>
    <w:rsid w:val="7CEA5B54"/>
    <w:rsid w:val="7D133F8B"/>
    <w:rsid w:val="7D3A28BB"/>
    <w:rsid w:val="7D5337EE"/>
    <w:rsid w:val="7D694FDC"/>
    <w:rsid w:val="7DDB768B"/>
    <w:rsid w:val="7E38416B"/>
    <w:rsid w:val="7E4C23B4"/>
    <w:rsid w:val="7E87522D"/>
    <w:rsid w:val="7F1564A6"/>
    <w:rsid w:val="7F71054D"/>
    <w:rsid w:val="7FA93175"/>
    <w:rsid w:val="7FB51D1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23"/>
    <w:qFormat/>
    <w:uiPriority w:val="0"/>
    <w:pPr>
      <w:jc w:val="left"/>
    </w:pPr>
  </w:style>
  <w:style w:type="paragraph" w:styleId="8">
    <w:name w:val="Body Text"/>
    <w:basedOn w:val="1"/>
    <w:next w:val="1"/>
    <w:qFormat/>
    <w:uiPriority w:val="0"/>
    <w:pPr>
      <w:spacing w:line="360" w:lineRule="auto"/>
      <w:ind w:firstLine="880" w:firstLineChars="200"/>
    </w:pPr>
    <w:rPr>
      <w:rFonts w:ascii="仿宋_GB2312" w:hAnsi="仿宋_GB2312" w:cs="仿宋_GB2312"/>
      <w:sz w:val="28"/>
      <w:szCs w:val="28"/>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7"/>
    <w:next w:val="7"/>
    <w:link w:val="24"/>
    <w:qFormat/>
    <w:uiPriority w:val="0"/>
    <w:rPr>
      <w:b/>
      <w:bCs/>
    </w:rPr>
  </w:style>
  <w:style w:type="paragraph" w:styleId="14">
    <w:name w:val="Body Text First Indent"/>
    <w:basedOn w:val="8"/>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 w:type="paragraph" w:customStyle="1" w:styleId="21">
    <w:name w:val="Fließtext"/>
    <w:basedOn w:val="1"/>
    <w:autoRedefine/>
    <w:qFormat/>
    <w:uiPriority w:val="99"/>
    <w:pPr>
      <w:overflowPunct w:val="0"/>
      <w:autoSpaceDE w:val="0"/>
      <w:autoSpaceDN w:val="0"/>
      <w:adjustRightInd w:val="0"/>
      <w:textAlignment w:val="baseline"/>
    </w:pPr>
    <w:rPr>
      <w:kern w:val="28"/>
      <w:szCs w:val="20"/>
    </w:rPr>
  </w:style>
  <w:style w:type="paragraph" w:customStyle="1" w:styleId="22">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3">
    <w:name w:val="批注文字 字符"/>
    <w:basedOn w:val="17"/>
    <w:link w:val="7"/>
    <w:qFormat/>
    <w:uiPriority w:val="0"/>
    <w:rPr>
      <w:rFonts w:ascii="Calibri" w:hAnsi="Calibri"/>
      <w:kern w:val="2"/>
      <w:sz w:val="21"/>
      <w:szCs w:val="24"/>
    </w:rPr>
  </w:style>
  <w:style w:type="character" w:customStyle="1" w:styleId="24">
    <w:name w:val="批注主题 字符"/>
    <w:basedOn w:val="23"/>
    <w:link w:val="13"/>
    <w:qFormat/>
    <w:uiPriority w:val="0"/>
    <w:rPr>
      <w:rFonts w:ascii="Calibri" w:hAnsi="Calibri"/>
      <w:b/>
      <w:bCs/>
      <w:kern w:val="2"/>
      <w:sz w:val="21"/>
      <w:szCs w:val="24"/>
    </w:rPr>
  </w:style>
  <w:style w:type="character" w:customStyle="1" w:styleId="25">
    <w:name w:val="font31"/>
    <w:basedOn w:val="17"/>
    <w:qFormat/>
    <w:uiPriority w:val="0"/>
    <w:rPr>
      <w:rFonts w:ascii="东文宋体" w:hAnsi="东文宋体" w:eastAsia="东文宋体" w:cs="东文宋体"/>
      <w:color w:val="000000"/>
      <w:sz w:val="24"/>
      <w:szCs w:val="24"/>
      <w:u w:val="none"/>
    </w:rPr>
  </w:style>
  <w:style w:type="character" w:customStyle="1" w:styleId="26">
    <w:name w:val="font0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1832</Words>
  <Characters>2032</Characters>
  <Lines>379</Lines>
  <Paragraphs>106</Paragraphs>
  <TotalTime>31</TotalTime>
  <ScaleCrop>false</ScaleCrop>
  <LinksUpToDate>false</LinksUpToDate>
  <CharactersWithSpaces>2034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林小笨</cp:lastModifiedBy>
  <cp:lastPrinted>2025-08-04T06:59:00Z</cp:lastPrinted>
  <dcterms:modified xsi:type="dcterms:W3CDTF">2025-08-07T03:25:17Z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DE818BC1ACFD495AA1038498D84C0196_13</vt:lpwstr>
  </property>
  <property fmtid="{D5CDD505-2E9C-101B-9397-08002B2CF9AE}" pid="4" name="KSOTemplateDocerSaveRecord">
    <vt:lpwstr>eyJoZGlkIjoiM2ExMGY3MTc1NWFlMWNmNzY2NzVkN2Q5MzAwNDhjZDIiLCJ1c2VySWQiOiIzODM2ODM3MTMifQ==</vt:lpwstr>
  </property>
</Properties>
</file>