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08E0E">
      <w:pPr>
        <w:pStyle w:val="2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062A9C65">
      <w:pPr>
        <w:pStyle w:val="2"/>
        <w:spacing w:after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福州市乌龙江公园认种认养质量考核标准与评分依据</w:t>
      </w:r>
    </w:p>
    <w:tbl>
      <w:tblPr>
        <w:tblStyle w:val="3"/>
        <w:tblpPr w:leftFromText="180" w:rightFromText="180" w:vertAnchor="text" w:horzAnchor="page" w:tblpX="1512" w:tblpY="730"/>
        <w:tblOverlap w:val="never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506"/>
        <w:gridCol w:w="3915"/>
        <w:gridCol w:w="679"/>
      </w:tblGrid>
      <w:tr w14:paraId="271A06E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A20A6">
            <w:pPr>
              <w:pStyle w:val="5"/>
              <w:spacing w:after="150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2D21D">
            <w:pPr>
              <w:pStyle w:val="5"/>
              <w:spacing w:after="150"/>
              <w:ind w:firstLine="420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  <w:t>质量标准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350B2">
            <w:pPr>
              <w:pStyle w:val="5"/>
              <w:spacing w:after="150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  <w:t>考核评分办法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C12B3">
            <w:pPr>
              <w:pStyle w:val="5"/>
              <w:spacing w:after="150"/>
              <w:jc w:val="center"/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CN"/>
              </w:rPr>
              <w:t>分值</w:t>
            </w:r>
          </w:p>
        </w:tc>
      </w:tr>
      <w:tr w14:paraId="25C4ED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1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E94B0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作业人员（10分）</w:t>
            </w:r>
          </w:p>
        </w:tc>
        <w:tc>
          <w:tcPr>
            <w:tcW w:w="3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4C233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绿化作业人员须按安全生产作业要求，穿着反光背心，佩戴安全帽，做好安全措施。</w:t>
            </w:r>
          </w:p>
        </w:tc>
        <w:tc>
          <w:tcPr>
            <w:tcW w:w="3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974D6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发现不符合相关规定情况，按每人每次扣0.5分。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610EA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10分</w:t>
            </w:r>
          </w:p>
        </w:tc>
      </w:tr>
      <w:tr w14:paraId="3B563B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1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D4929">
            <w:pPr>
              <w:pStyle w:val="5"/>
              <w:spacing w:after="150"/>
              <w:jc w:val="both"/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  <w:t>茉莉花种植区养护</w:t>
            </w:r>
          </w:p>
          <w:p w14:paraId="3E7FF5A5">
            <w:pPr>
              <w:pStyle w:val="5"/>
              <w:spacing w:after="150"/>
              <w:jc w:val="both"/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  <w:t>（50分）</w:t>
            </w:r>
          </w:p>
          <w:p w14:paraId="7082219D">
            <w:pPr>
              <w:pStyle w:val="5"/>
              <w:spacing w:after="150"/>
              <w:jc w:val="both"/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C64D0">
            <w:pPr>
              <w:pStyle w:val="5"/>
              <w:spacing w:after="150"/>
              <w:jc w:val="both"/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  <w:t>（1）修剪：无枯枝、病虫枝、细弱枝、过密枝、内膛枝，面积不得超过5%；</w:t>
            </w:r>
          </w:p>
          <w:p w14:paraId="3AFD2BCC">
            <w:pPr>
              <w:pStyle w:val="5"/>
              <w:spacing w:after="150"/>
              <w:jc w:val="both"/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  <w:t>（2）每年清明节前，完成茉莉花重剪工作，重剪离地约10-20cm。</w:t>
            </w:r>
          </w:p>
        </w:tc>
        <w:tc>
          <w:tcPr>
            <w:tcW w:w="3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5D07B">
            <w:pPr>
              <w:pStyle w:val="5"/>
              <w:spacing w:after="150"/>
              <w:jc w:val="both"/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  <w:t>（1）枯枝、病虫枝、细弱枝、过密枝、内向枝面积每10平方米超过5%（含5%）的扣1分；</w:t>
            </w:r>
          </w:p>
          <w:p w14:paraId="6F840CC4">
            <w:pPr>
              <w:pStyle w:val="5"/>
              <w:spacing w:after="150"/>
              <w:jc w:val="both"/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  <w:t>（2）未完成茉莉花修剪的面积超过10%（含10%）扣0-5分，超过20%以上（含20%）的当月此项不得分。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3E8C0">
            <w:pPr>
              <w:pStyle w:val="5"/>
              <w:spacing w:after="150"/>
              <w:jc w:val="both"/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  <w:lang w:eastAsia="zh-CN"/>
              </w:rPr>
              <w:t>10分</w:t>
            </w:r>
          </w:p>
        </w:tc>
      </w:tr>
      <w:tr w14:paraId="1365FEE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AAA0D7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30E1F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水肥管理：根据植株大小、生长时期、生长情况制定水肥计划，适时适量浇水，合理施肥，无缺水、缺肥或肥害症状。</w:t>
            </w:r>
          </w:p>
        </w:tc>
        <w:tc>
          <w:tcPr>
            <w:tcW w:w="3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B2F60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植株出现缺水症状或缺肥症状或肥害症状面积每10平方米超过5%（含5%）的扣0.5分；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B95A9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10分</w:t>
            </w:r>
          </w:p>
        </w:tc>
      </w:tr>
      <w:tr w14:paraId="693509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C7958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4AF1E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除草：茉莉花田基本无杂草，无缠绕性、攀援性杂草。杂草高度控制在15cm以下，不影响茉莉花生长。</w:t>
            </w:r>
          </w:p>
        </w:tc>
        <w:tc>
          <w:tcPr>
            <w:tcW w:w="3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37830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茉莉花田杂草超过15cm每10平方米面积扣0.5分。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2D2FD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10分</w:t>
            </w:r>
          </w:p>
        </w:tc>
      </w:tr>
      <w:tr w14:paraId="50E0F8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23163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66109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补植：对损坏或死亡的植株应及时更换补植，所用植株应品种相同、规格相近，缺株率在5%以下。</w:t>
            </w:r>
          </w:p>
        </w:tc>
        <w:tc>
          <w:tcPr>
            <w:tcW w:w="3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AC7D3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缺株面积每10平方米超过5%（含5%）的扣1分。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33ACF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10分</w:t>
            </w:r>
          </w:p>
        </w:tc>
      </w:tr>
      <w:tr w14:paraId="526A88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10A82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0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45A20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病虫害控制：建立病虫害防治预案和防治计划，无明显危害迹象。</w:t>
            </w:r>
          </w:p>
        </w:tc>
        <w:tc>
          <w:tcPr>
            <w:tcW w:w="39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3B199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（1）有病虫害危害的面积每10平方米超过5%扣0.5分；（2）喷药操作不规范，扣1分/处；发生药害事故，该项全扣。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6A4EF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10分</w:t>
            </w:r>
          </w:p>
        </w:tc>
      </w:tr>
      <w:tr w14:paraId="723E18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56B35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  <w:p w14:paraId="05E493D1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卫生保洁(30分)</w:t>
            </w:r>
          </w:p>
          <w:p w14:paraId="660ADC32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  <w:p w14:paraId="466B9348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9CED1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绿地内无白色垃圾、污物或其他有形垃圾及杂物，枝叶上无有形垃圾、晾晒物、吊挂物等未经绿化管理部门允许设置的设施；树穴、树池内无渣土、砖石等有形废弃杂物；无卫生死角。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EAB67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绿地内有白色垃圾、污物或其他有形垃圾及杂物，枝叶上有有形垃圾、晾晒物、吊挂物等未经绿化管理部门允许设置的设施；树穴、树池内有渣土、砖石等有形废弃杂物，扣0.5分/处；卫生死角，扣0.5分/处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2ACB7">
            <w:pPr>
              <w:spacing w:line="4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10分</w:t>
            </w:r>
          </w:p>
        </w:tc>
      </w:tr>
      <w:tr w14:paraId="74CB19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6BA9E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F74B1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绿化修剪废弃物及时清理，堆放不超过1个工作日；无垃圾乱倾倒、乱焚烧现象。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24E23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绿化修剪废弃物未在一个工作日内及时清理，扣0.5分/处；垃圾乱倾倒、乱焚烧现象，扣1分/处。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E302B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10分</w:t>
            </w:r>
          </w:p>
        </w:tc>
      </w:tr>
      <w:tr w14:paraId="5FC060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8B755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A7E50D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按照垃圾分类相关规定实行分类运输到专门地点处理</w:t>
            </w:r>
          </w:p>
        </w:tc>
        <w:tc>
          <w:tcPr>
            <w:tcW w:w="3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E9277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未按照垃圾分类相关规定实行分类运输到专门地点处理，扣2分/次。</w:t>
            </w: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FAA40">
            <w:pPr>
              <w:spacing w:line="4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10分</w:t>
            </w:r>
          </w:p>
        </w:tc>
      </w:tr>
      <w:tr w14:paraId="2019B5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B1C6D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其他(10分)</w:t>
            </w:r>
          </w:p>
          <w:p w14:paraId="3E55B1AC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0F96C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无群众投诉、媒体曝光事件</w:t>
            </w:r>
          </w:p>
        </w:tc>
        <w:tc>
          <w:tcPr>
            <w:tcW w:w="3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49B38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出现群众投诉、媒体曝光事件，凡经查证属实，每次扣2分。</w:t>
            </w:r>
          </w:p>
        </w:tc>
        <w:tc>
          <w:tcPr>
            <w:tcW w:w="67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5040D">
            <w:pPr>
              <w:spacing w:line="4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10分</w:t>
            </w:r>
          </w:p>
        </w:tc>
      </w:tr>
      <w:tr w14:paraId="483CD3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5B689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3CA6C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12345及数字城管件，要及时处理派件，提高整改时效；管理部门提出的问题应在规定时间内完成。</w:t>
            </w:r>
          </w:p>
        </w:tc>
        <w:tc>
          <w:tcPr>
            <w:tcW w:w="3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877E0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12345及数字城管诉求件，及时处理派件，提高整改时效；管理部门提出的问题应在规定的时间内完成。如因工作推诿、拖拉造成重复投诉或重办件，每次扣2分。</w:t>
            </w:r>
          </w:p>
        </w:tc>
        <w:tc>
          <w:tcPr>
            <w:tcW w:w="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4F272">
            <w:pPr>
              <w:spacing w:line="480" w:lineRule="exact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15B9AEE6">
      <w:pPr>
        <w:spacing w:line="480" w:lineRule="exact"/>
        <w:rPr>
          <w:rFonts w:ascii="宋体" w:hAnsi="宋体" w:cs="宋体"/>
          <w:szCs w:val="21"/>
        </w:rPr>
      </w:pPr>
    </w:p>
    <w:p w14:paraId="11640708">
      <w:bookmarkStart w:id="0" w:name="_GoBack"/>
      <w:bookmarkEnd w:id="0"/>
    </w:p>
    <w:sectPr>
      <w:pgSz w:w="11906" w:h="16838"/>
      <w:pgMar w:top="2098" w:right="1440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5315F8-CD68-48BE-891E-5FE056AB0B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21ED15F-67DD-4CF8-A6FA-F066E8D6B7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33C0432-C54B-41AB-B6BA-82438967F2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A5F2B"/>
    <w:rsid w:val="28AA5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2024-11-25T07:26:00Z</dcterms:created>
  <dc:creator>林小笨</dc:creator>
  <cp:lastModifiedBy>林小笨</cp:lastModifiedBy>
  <dcterms:modified xsi:type="dcterms:W3CDTF">2024-11-25T07:26:53Z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708A6DF9293E48F6A063F2FD44E57D11_11</vt:lpwstr>
  </property>
</Properties>
</file>