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60" w:beforeAutospacing="0" w:after="240" w:afterAutospacing="0" w:line="288" w:lineRule="auto"/>
        <w:ind w:left="0" w:right="0" w:firstLine="0"/>
        <w:jc w:val="center"/>
        <w:textAlignment w:val="baseline"/>
        <w:rPr>
          <w:rFonts w:hint="eastAsia" w:ascii="微软雅黑" w:hAnsi="微软雅黑" w:eastAsia="微软雅黑" w:cs="微软雅黑"/>
          <w:b/>
          <w:bCs/>
          <w:i w:val="0"/>
          <w:iCs w:val="0"/>
          <w:caps w:val="0"/>
          <w:color w:val="auto"/>
          <w:spacing w:val="0"/>
          <w:sz w:val="31"/>
          <w:szCs w:val="31"/>
          <w:shd w:val="clear" w:color="auto" w:fill="FFFFFF"/>
          <w:vertAlign w:val="baseline"/>
        </w:rPr>
      </w:pPr>
      <w:r>
        <w:rPr>
          <w:rFonts w:hint="eastAsia" w:ascii="微软雅黑" w:hAnsi="微软雅黑" w:eastAsia="微软雅黑" w:cs="微软雅黑"/>
          <w:b/>
          <w:bCs/>
          <w:i w:val="0"/>
          <w:iCs w:val="0"/>
          <w:caps w:val="0"/>
          <w:color w:val="auto"/>
          <w:spacing w:val="0"/>
          <w:sz w:val="31"/>
          <w:szCs w:val="31"/>
          <w:shd w:val="clear" w:color="auto" w:fill="FFFFFF"/>
          <w:vertAlign w:val="baseline"/>
        </w:rPr>
        <w:t>2027-2029年乌龙江公园淮安大桥至湾边大桥段（不含沙滩公园）绿化养护服务</w:t>
      </w:r>
      <w:r>
        <w:rPr>
          <w:rFonts w:hint="eastAsia" w:ascii="微软雅黑" w:hAnsi="微软雅黑" w:eastAsia="微软雅黑" w:cs="微软雅黑"/>
          <w:b/>
          <w:bCs/>
          <w:i w:val="0"/>
          <w:iCs w:val="0"/>
          <w:caps w:val="0"/>
          <w:color w:val="auto"/>
          <w:spacing w:val="0"/>
          <w:sz w:val="31"/>
          <w:szCs w:val="31"/>
          <w:shd w:val="clear" w:color="auto" w:fill="FFFFFF"/>
          <w:vertAlign w:val="baseline"/>
          <w:lang w:eastAsia="zh-CN"/>
        </w:rPr>
        <w:t>项目采购</w:t>
      </w:r>
      <w:r>
        <w:rPr>
          <w:rFonts w:hint="eastAsia" w:ascii="微软雅黑" w:hAnsi="微软雅黑" w:eastAsia="微软雅黑" w:cs="微软雅黑"/>
          <w:b/>
          <w:bCs/>
          <w:i w:val="0"/>
          <w:iCs w:val="0"/>
          <w:caps w:val="0"/>
          <w:color w:val="auto"/>
          <w:spacing w:val="0"/>
          <w:sz w:val="31"/>
          <w:szCs w:val="31"/>
          <w:shd w:val="clear" w:color="auto" w:fill="FFFFFF"/>
          <w:vertAlign w:val="baseline"/>
        </w:rPr>
        <w:t>需求方案</w:t>
      </w:r>
      <w:r>
        <w:rPr>
          <w:rFonts w:hint="eastAsia" w:ascii="微软雅黑" w:hAnsi="微软雅黑" w:eastAsia="微软雅黑" w:cs="微软雅黑"/>
          <w:b/>
          <w:bCs/>
          <w:i w:val="0"/>
          <w:iCs w:val="0"/>
          <w:caps w:val="0"/>
          <w:color w:val="auto"/>
          <w:spacing w:val="0"/>
          <w:sz w:val="31"/>
          <w:szCs w:val="31"/>
          <w:shd w:val="clear" w:color="auto" w:fill="FFFFFF"/>
          <w:vertAlign w:val="baseline"/>
          <w:lang w:eastAsia="zh-CN"/>
        </w:rPr>
        <w:t>征求意见</w:t>
      </w:r>
      <w:r>
        <w:rPr>
          <w:rFonts w:hint="eastAsia" w:ascii="微软雅黑" w:hAnsi="微软雅黑" w:eastAsia="微软雅黑" w:cs="微软雅黑"/>
          <w:b/>
          <w:bCs/>
          <w:i w:val="0"/>
          <w:iCs w:val="0"/>
          <w:caps w:val="0"/>
          <w:color w:val="auto"/>
          <w:spacing w:val="0"/>
          <w:sz w:val="31"/>
          <w:szCs w:val="31"/>
          <w:shd w:val="clear" w:color="auto" w:fill="FFFFFF"/>
          <w:vertAlign w:val="baseline"/>
        </w:rPr>
        <w:t>公告</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60" w:line="288" w:lineRule="auto"/>
        <w:ind w:left="0" w:right="0" w:firstLine="0"/>
        <w:jc w:val="left"/>
        <w:textAlignment w:val="auto"/>
        <w:rPr>
          <w:rFonts w:hint="eastAsia" w:ascii="仿宋" w:hAnsi="仿宋" w:eastAsia="仿宋" w:cs="仿宋"/>
          <w:b w:val="0"/>
          <w:bCs w:val="0"/>
          <w:color w:val="auto"/>
          <w:kern w:val="2"/>
          <w:sz w:val="24"/>
          <w:szCs w:val="24"/>
          <w:u w:val="none"/>
          <w:lang w:val="en-US" w:eastAsia="zh-CN" w:bidi="ar-SA"/>
        </w:rPr>
      </w:pPr>
      <w:r>
        <w:rPr>
          <w:rFonts w:hint="eastAsia" w:ascii="Calibri" w:hAnsi="Calibri" w:eastAsia="宋体" w:cs="宋体"/>
          <w:b w:val="0"/>
          <w:bCs w:val="0"/>
          <w:color w:val="auto"/>
          <w:kern w:val="2"/>
          <w:sz w:val="28"/>
          <w:szCs w:val="28"/>
          <w:u w:val="none"/>
          <w:lang w:val="en-US" w:eastAsia="zh-CN" w:bidi="ar-SA"/>
        </w:rPr>
        <w:t xml:space="preserve">　 </w:t>
      </w:r>
      <w:r>
        <w:rPr>
          <w:rFonts w:hint="eastAsia" w:ascii="仿宋" w:hAnsi="仿宋" w:eastAsia="仿宋" w:cs="仿宋"/>
          <w:b w:val="0"/>
          <w:bCs w:val="0"/>
          <w:color w:val="auto"/>
          <w:kern w:val="2"/>
          <w:sz w:val="24"/>
          <w:szCs w:val="24"/>
          <w:u w:val="none"/>
          <w:lang w:val="en-US" w:eastAsia="zh-CN" w:bidi="ar-SA"/>
        </w:rPr>
        <w:t xml:space="preserve">  福建省正华工程咨询有限公司受福州市乌龙江公园管理处委托，根据《中华人民共和国政府采购法》等有关规定，现对“2027-2029年乌龙江公园淮安大桥至湾边大桥段（不含沙滩公园）绿化养护服务项目”采购需求方案进行征求意见，欢迎合格的供应商前来参与。</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项目名称：</w:t>
      </w:r>
      <w:r>
        <w:rPr>
          <w:rFonts w:hint="eastAsia" w:ascii="仿宋" w:hAnsi="仿宋" w:eastAsia="仿宋" w:cs="仿宋"/>
          <w:b w:val="0"/>
          <w:bCs w:val="0"/>
          <w:color w:val="auto"/>
          <w:kern w:val="2"/>
          <w:sz w:val="24"/>
          <w:szCs w:val="24"/>
          <w:u w:val="none"/>
          <w:lang w:val="en-US" w:eastAsia="zh-CN" w:bidi="ar-SA"/>
        </w:rPr>
        <w:t>2027-2029年乌龙江公园淮安大桥至湾边大桥段（不含沙滩公园）绿化养护服务项目”采购需求方案征求意见</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项目编号：</w:t>
      </w:r>
      <w:r>
        <w:rPr>
          <w:rFonts w:hint="eastAsia" w:ascii="仿宋" w:hAnsi="仿宋" w:eastAsia="仿宋" w:cs="仿宋"/>
          <w:color w:val="auto"/>
          <w:sz w:val="24"/>
          <w:szCs w:val="24"/>
          <w:lang w:val="en-US" w:eastAsia="zh-CN"/>
        </w:rPr>
        <w:t>FJZFCG 2026-120</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项目联系方式：</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项目联系人：</w:t>
      </w:r>
      <w:r>
        <w:rPr>
          <w:rFonts w:hint="eastAsia" w:ascii="仿宋" w:hAnsi="仿宋" w:eastAsia="仿宋" w:cs="仿宋"/>
          <w:color w:val="auto"/>
          <w:sz w:val="24"/>
          <w:szCs w:val="24"/>
          <w:lang w:eastAsia="zh-CN"/>
        </w:rPr>
        <w:t>李工</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项目联系电话：</w:t>
      </w:r>
      <w:r>
        <w:rPr>
          <w:rFonts w:hint="eastAsia" w:ascii="仿宋" w:hAnsi="仿宋" w:eastAsia="仿宋" w:cs="仿宋"/>
          <w:color w:val="auto"/>
          <w:sz w:val="24"/>
          <w:szCs w:val="24"/>
          <w:lang w:val="en-US" w:eastAsia="zh-CN"/>
        </w:rPr>
        <w:t>0591-87526916</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采购单位联系方式：</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rPr>
        <w:t>采购单位：</w:t>
      </w:r>
      <w:r>
        <w:rPr>
          <w:rFonts w:hint="eastAsia" w:ascii="仿宋" w:hAnsi="仿宋" w:eastAsia="仿宋" w:cs="仿宋"/>
          <w:b w:val="0"/>
          <w:bCs w:val="0"/>
          <w:color w:val="auto"/>
          <w:kern w:val="2"/>
          <w:sz w:val="24"/>
          <w:szCs w:val="24"/>
          <w:u w:val="none"/>
          <w:lang w:val="en-US" w:eastAsia="zh-CN" w:bidi="ar-SA"/>
        </w:rPr>
        <w:t>福州市乌龙江公园管理处</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b w:val="0"/>
          <w:bCs w:val="0"/>
          <w:color w:val="auto"/>
          <w:kern w:val="2"/>
          <w:sz w:val="24"/>
          <w:szCs w:val="24"/>
          <w:u w:val="none"/>
          <w:lang w:val="en-US" w:eastAsia="zh-CN" w:bidi="ar-SA"/>
        </w:rPr>
      </w:pPr>
      <w:r>
        <w:rPr>
          <w:rFonts w:hint="eastAsia" w:ascii="仿宋" w:hAnsi="仿宋" w:eastAsia="仿宋" w:cs="仿宋"/>
          <w:color w:val="auto"/>
          <w:sz w:val="24"/>
          <w:szCs w:val="24"/>
        </w:rPr>
        <w:t>采购单位地址：</w:t>
      </w:r>
      <w:r>
        <w:rPr>
          <w:rFonts w:hint="eastAsia" w:ascii="仿宋" w:hAnsi="仿宋" w:eastAsia="仿宋" w:cs="仿宋"/>
          <w:b w:val="0"/>
          <w:bCs w:val="0"/>
          <w:color w:val="auto"/>
          <w:kern w:val="2"/>
          <w:sz w:val="24"/>
          <w:szCs w:val="24"/>
          <w:u w:val="none"/>
          <w:lang w:val="en-US" w:eastAsia="zh-CN" w:bidi="ar-SA"/>
        </w:rPr>
        <w:t xml:space="preserve"> 福州市仓山区西三环路421号</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采购单位联系方式：</w:t>
      </w:r>
      <w:r>
        <w:rPr>
          <w:rFonts w:hint="eastAsia" w:ascii="仿宋" w:hAnsi="仿宋" w:eastAsia="仿宋" w:cs="仿宋"/>
          <w:color w:val="auto"/>
          <w:sz w:val="24"/>
          <w:szCs w:val="24"/>
          <w:lang w:eastAsia="zh-CN"/>
        </w:rPr>
        <w:t>郑工</w:t>
      </w:r>
      <w:r>
        <w:rPr>
          <w:rFonts w:hint="eastAsia" w:ascii="仿宋" w:hAnsi="仿宋" w:eastAsia="仿宋" w:cs="仿宋"/>
          <w:color w:val="auto"/>
          <w:sz w:val="24"/>
          <w:szCs w:val="24"/>
          <w:lang w:val="en-US" w:eastAsia="zh-CN"/>
        </w:rPr>
        <w:t>/0591-87602696</w:t>
      </w:r>
      <w:r>
        <w:rPr>
          <w:rFonts w:hint="eastAsia" w:ascii="仿宋" w:hAnsi="仿宋" w:eastAsia="仿宋" w:cs="仿宋"/>
          <w:color w:val="auto"/>
          <w:sz w:val="24"/>
          <w:szCs w:val="24"/>
        </w:rPr>
        <w:t> </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代理机构联系方式：</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代理机构：</w:t>
      </w:r>
      <w:r>
        <w:rPr>
          <w:rFonts w:hint="eastAsia" w:ascii="仿宋" w:hAnsi="仿宋" w:eastAsia="仿宋" w:cs="仿宋"/>
          <w:color w:val="auto"/>
          <w:sz w:val="24"/>
          <w:szCs w:val="24"/>
          <w:lang w:eastAsia="zh-CN"/>
        </w:rPr>
        <w:t>福建省正华工程咨询有限公司</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代理机构联系人：</w:t>
      </w:r>
      <w:r>
        <w:rPr>
          <w:rFonts w:hint="eastAsia" w:ascii="仿宋" w:hAnsi="仿宋" w:eastAsia="仿宋" w:cs="仿宋"/>
          <w:color w:val="auto"/>
          <w:sz w:val="24"/>
          <w:szCs w:val="24"/>
          <w:lang w:eastAsia="zh-CN"/>
        </w:rPr>
        <w:t>李工</w:t>
      </w:r>
      <w:r>
        <w:rPr>
          <w:rFonts w:hint="eastAsia" w:ascii="仿宋" w:hAnsi="仿宋" w:eastAsia="仿宋" w:cs="仿宋"/>
          <w:color w:val="auto"/>
          <w:sz w:val="24"/>
          <w:szCs w:val="24"/>
        </w:rPr>
        <w:t>059</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87526916</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 xml:space="preserve">代理机构地址： </w:t>
      </w:r>
      <w:r>
        <w:rPr>
          <w:rFonts w:hint="eastAsia" w:ascii="仿宋" w:hAnsi="仿宋" w:eastAsia="仿宋" w:cs="仿宋"/>
          <w:color w:val="auto"/>
          <w:sz w:val="24"/>
          <w:szCs w:val="24"/>
          <w:lang w:eastAsia="zh-CN"/>
        </w:rPr>
        <w:t>福州市晋安区福新中路</w:t>
      </w:r>
      <w:r>
        <w:rPr>
          <w:rFonts w:hint="eastAsia" w:ascii="仿宋" w:hAnsi="仿宋" w:eastAsia="仿宋" w:cs="仿宋"/>
          <w:color w:val="auto"/>
          <w:sz w:val="24"/>
          <w:szCs w:val="24"/>
          <w:lang w:val="en-US" w:eastAsia="zh-CN"/>
        </w:rPr>
        <w:t>228号三层</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（一）采购项目内容</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现就</w:t>
      </w:r>
      <w:r>
        <w:rPr>
          <w:rFonts w:hint="eastAsia" w:ascii="仿宋" w:hAnsi="仿宋" w:eastAsia="仿宋" w:cs="仿宋"/>
          <w:b w:val="0"/>
          <w:bCs w:val="0"/>
          <w:color w:val="auto"/>
          <w:kern w:val="2"/>
          <w:sz w:val="24"/>
          <w:szCs w:val="24"/>
          <w:u w:val="none"/>
          <w:lang w:val="en-US" w:eastAsia="zh-CN" w:bidi="ar-SA"/>
        </w:rPr>
        <w:t>2027-2029年乌龙江公园淮安大桥至湾边大桥段（不含沙滩公园）绿化养护服务项目”采购需求方案征求意见</w:t>
      </w:r>
      <w:r>
        <w:rPr>
          <w:rFonts w:hint="eastAsia" w:ascii="仿宋" w:hAnsi="仿宋" w:eastAsia="仿宋" w:cs="仿宋"/>
          <w:color w:val="auto"/>
          <w:sz w:val="24"/>
          <w:szCs w:val="24"/>
        </w:rPr>
        <w:t>，欢迎有资质、有能力的单位参与</w:t>
      </w:r>
      <w:r>
        <w:rPr>
          <w:rFonts w:hint="eastAsia" w:ascii="仿宋" w:hAnsi="仿宋" w:eastAsia="仿宋" w:cs="仿宋"/>
          <w:color w:val="auto"/>
          <w:sz w:val="24"/>
          <w:szCs w:val="24"/>
          <w:lang w:eastAsia="zh-CN"/>
        </w:rPr>
        <w:t>并对本</w:t>
      </w:r>
      <w:r>
        <w:rPr>
          <w:rFonts w:hint="eastAsia" w:ascii="仿宋" w:hAnsi="仿宋" w:eastAsia="仿宋" w:cs="仿宋"/>
          <w:color w:val="auto"/>
          <w:sz w:val="24"/>
          <w:szCs w:val="24"/>
        </w:rPr>
        <w:t>项目采购需求方案</w:t>
      </w:r>
      <w:r>
        <w:rPr>
          <w:rFonts w:hint="eastAsia" w:ascii="仿宋" w:hAnsi="仿宋" w:eastAsia="仿宋" w:cs="仿宋"/>
          <w:color w:val="auto"/>
          <w:sz w:val="24"/>
          <w:szCs w:val="24"/>
          <w:lang w:eastAsia="zh-CN"/>
        </w:rPr>
        <w:t>提供宝贵意见</w:t>
      </w:r>
      <w:r>
        <w:rPr>
          <w:rFonts w:hint="eastAsia" w:ascii="仿宋" w:hAnsi="仿宋" w:eastAsia="仿宋" w:cs="仿宋"/>
          <w:color w:val="auto"/>
          <w:sz w:val="24"/>
          <w:szCs w:val="24"/>
        </w:rPr>
        <w:t>。现将有关事宜公告如下： </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单位：</w:t>
      </w:r>
      <w:r>
        <w:rPr>
          <w:rFonts w:hint="eastAsia" w:ascii="仿宋" w:hAnsi="仿宋" w:eastAsia="仿宋" w:cs="仿宋"/>
          <w:b w:val="0"/>
          <w:bCs w:val="0"/>
          <w:color w:val="auto"/>
          <w:kern w:val="2"/>
          <w:sz w:val="24"/>
          <w:szCs w:val="24"/>
          <w:u w:val="none"/>
          <w:lang w:val="en-US" w:eastAsia="zh-CN" w:bidi="ar-SA"/>
        </w:rPr>
        <w:t>福州市乌龙江公园管理处</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仿宋" w:hAnsi="仿宋" w:eastAsia="仿宋" w:cs="仿宋"/>
          <w:b w:val="0"/>
          <w:bCs w:val="0"/>
          <w:color w:val="auto"/>
          <w:kern w:val="2"/>
          <w:sz w:val="24"/>
          <w:szCs w:val="24"/>
          <w:u w:val="none"/>
          <w:lang w:val="en-US" w:eastAsia="zh-CN" w:bidi="ar-SA"/>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项目名称：</w:t>
      </w:r>
      <w:r>
        <w:rPr>
          <w:rFonts w:hint="eastAsia" w:ascii="仿宋" w:hAnsi="仿宋" w:eastAsia="仿宋" w:cs="仿宋"/>
          <w:color w:val="auto"/>
          <w:sz w:val="24"/>
          <w:szCs w:val="24"/>
          <w:lang w:eastAsia="zh-CN"/>
        </w:rPr>
        <w:t>“</w:t>
      </w:r>
      <w:r>
        <w:rPr>
          <w:rFonts w:hint="eastAsia" w:ascii="仿宋" w:hAnsi="仿宋" w:eastAsia="仿宋" w:cs="仿宋"/>
          <w:b w:val="0"/>
          <w:bCs w:val="0"/>
          <w:color w:val="auto"/>
          <w:kern w:val="2"/>
          <w:sz w:val="24"/>
          <w:szCs w:val="24"/>
          <w:u w:val="none"/>
          <w:lang w:val="en-US" w:eastAsia="zh-CN" w:bidi="ar-SA"/>
        </w:rPr>
        <w:t>2027-2029年乌龙江公园淮安大桥至湾边大桥段（不含沙滩公园）绿化养护服务项目”采购需求方案征求意见</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项目概况和</w:t>
      </w:r>
      <w:r>
        <w:rPr>
          <w:rFonts w:hint="eastAsia" w:ascii="仿宋" w:hAnsi="仿宋" w:eastAsia="仿宋" w:cs="仿宋"/>
          <w:color w:val="auto"/>
          <w:sz w:val="24"/>
          <w:szCs w:val="24"/>
          <w:lang w:eastAsia="zh-CN"/>
        </w:rPr>
        <w:t>征求意见的</w:t>
      </w:r>
      <w:r>
        <w:rPr>
          <w:rFonts w:hint="eastAsia" w:ascii="仿宋" w:hAnsi="仿宋" w:eastAsia="仿宋" w:cs="仿宋"/>
          <w:color w:val="auto"/>
          <w:sz w:val="24"/>
          <w:szCs w:val="24"/>
        </w:rPr>
        <w:t>内容 </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1项目概况：本公告仅作为项目招标前期的</w:t>
      </w:r>
      <w:r>
        <w:rPr>
          <w:rFonts w:hint="eastAsia" w:ascii="仿宋" w:hAnsi="仿宋" w:eastAsia="仿宋" w:cs="仿宋"/>
          <w:b w:val="0"/>
          <w:bCs w:val="0"/>
          <w:color w:val="auto"/>
          <w:kern w:val="2"/>
          <w:sz w:val="24"/>
          <w:szCs w:val="24"/>
          <w:u w:val="none"/>
          <w:lang w:val="en-US" w:eastAsia="zh-CN" w:bidi="ar-SA"/>
        </w:rPr>
        <w:t>采购需求方案意见征求</w:t>
      </w:r>
      <w:r>
        <w:rPr>
          <w:rFonts w:hint="eastAsia" w:ascii="仿宋" w:hAnsi="仿宋" w:eastAsia="仿宋" w:cs="仿宋"/>
          <w:color w:val="auto"/>
          <w:sz w:val="24"/>
          <w:szCs w:val="24"/>
        </w:rPr>
        <w:t>，不作为项目招标。</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仿宋" w:hAnsi="仿宋" w:eastAsia="仿宋" w:cs="仿宋"/>
          <w:color w:val="auto"/>
          <w:sz w:val="24"/>
          <w:szCs w:val="24"/>
          <w:lang w:eastAsia="zh-CN"/>
        </w:rPr>
      </w:pPr>
      <w:r>
        <w:rPr>
          <w:rFonts w:hint="eastAsia" w:ascii="仿宋" w:hAnsi="仿宋" w:eastAsia="仿宋" w:cs="仿宋"/>
          <w:b w:val="0"/>
          <w:bCs w:val="0"/>
          <w:color w:val="auto"/>
          <w:kern w:val="2"/>
          <w:sz w:val="24"/>
          <w:szCs w:val="24"/>
          <w:u w:val="none"/>
          <w:lang w:val="en-US" w:eastAsia="zh-CN" w:bidi="ar-SA"/>
        </w:rPr>
        <w:t>3.2征求意见</w:t>
      </w:r>
      <w:r>
        <w:rPr>
          <w:rFonts w:hint="eastAsia" w:ascii="仿宋" w:hAnsi="仿宋" w:eastAsia="仿宋" w:cs="仿宋"/>
          <w:color w:val="auto"/>
          <w:sz w:val="24"/>
          <w:szCs w:val="24"/>
        </w:rPr>
        <w:t>内容</w:t>
      </w:r>
      <w:r>
        <w:rPr>
          <w:rFonts w:hint="eastAsia" w:ascii="仿宋" w:hAnsi="仿宋" w:eastAsia="仿宋" w:cs="仿宋"/>
          <w:color w:val="auto"/>
          <w:sz w:val="24"/>
          <w:szCs w:val="24"/>
          <w:lang w:eastAsia="zh-CN"/>
        </w:rPr>
        <w:t>：</w:t>
      </w:r>
    </w:p>
    <w:p>
      <w:pPr>
        <w:pStyle w:val="17"/>
        <w:keepNext w:val="0"/>
        <w:keepLines w:val="0"/>
        <w:pageBreakBefore w:val="0"/>
        <w:numPr>
          <w:ilvl w:val="0"/>
          <w:numId w:val="1"/>
        </w:numPr>
        <w:kinsoku/>
        <w:wordWrap/>
        <w:overflowPunct/>
        <w:topLinePunct w:val="0"/>
        <w:autoSpaceDE/>
        <w:autoSpaceDN/>
        <w:bidi w:val="0"/>
        <w:adjustRightInd/>
        <w:snapToGrid/>
        <w:spacing w:line="288" w:lineRule="auto"/>
        <w:jc w:val="both"/>
        <w:outlineLvl w:val="2"/>
        <w:rPr>
          <w:rFonts w:hint="eastAsia" w:ascii="仿宋" w:hAnsi="仿宋" w:eastAsia="仿宋" w:cs="仿宋"/>
          <w:b/>
          <w:color w:val="auto"/>
          <w:sz w:val="24"/>
          <w:szCs w:val="24"/>
        </w:rPr>
      </w:pPr>
      <w:r>
        <w:rPr>
          <w:rFonts w:hint="eastAsia" w:ascii="仿宋" w:hAnsi="仿宋" w:eastAsia="仿宋" w:cs="仿宋"/>
          <w:b/>
          <w:color w:val="auto"/>
          <w:sz w:val="24"/>
          <w:szCs w:val="24"/>
        </w:rPr>
        <w:t>项目概况（采购标的）</w:t>
      </w:r>
    </w:p>
    <w:p>
      <w:pPr>
        <w:pStyle w:val="17"/>
        <w:keepNext w:val="0"/>
        <w:keepLines w:val="0"/>
        <w:pageBreakBefore w:val="0"/>
        <w:widowControl/>
        <w:kinsoku/>
        <w:wordWrap/>
        <w:overflowPunct/>
        <w:topLinePunct w:val="0"/>
        <w:autoSpaceDE/>
        <w:autoSpaceDN/>
        <w:bidi w:val="0"/>
        <w:adjustRightInd/>
        <w:snapToGrid/>
        <w:spacing w:line="288" w:lineRule="auto"/>
        <w:ind w:firstLine="482"/>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1.项目名称：2027-2029年乌龙江公园淮安大桥至湾边大桥段（不含沙滩公园）绿化养护服务项目；</w:t>
      </w:r>
    </w:p>
    <w:p>
      <w:pPr>
        <w:pStyle w:val="17"/>
        <w:keepNext w:val="0"/>
        <w:keepLines w:val="0"/>
        <w:pageBreakBefore w:val="0"/>
        <w:widowControl/>
        <w:kinsoku/>
        <w:wordWrap/>
        <w:overflowPunct/>
        <w:topLinePunct w:val="0"/>
        <w:autoSpaceDE/>
        <w:autoSpaceDN/>
        <w:bidi w:val="0"/>
        <w:adjustRightInd/>
        <w:snapToGrid/>
        <w:spacing w:line="288" w:lineRule="auto"/>
        <w:ind w:firstLine="482"/>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2.养护地点：福州市乌龙江公园淮安大桥至湾边大桥段（不含沙滩公园）；</w:t>
      </w:r>
    </w:p>
    <w:p>
      <w:pPr>
        <w:pStyle w:val="17"/>
        <w:keepNext w:val="0"/>
        <w:keepLines w:val="0"/>
        <w:pageBreakBefore w:val="0"/>
        <w:widowControl/>
        <w:kinsoku/>
        <w:wordWrap/>
        <w:overflowPunct/>
        <w:topLinePunct w:val="0"/>
        <w:autoSpaceDE/>
        <w:autoSpaceDN/>
        <w:bidi w:val="0"/>
        <w:adjustRightInd/>
        <w:snapToGrid/>
        <w:spacing w:line="288" w:lineRule="auto"/>
        <w:ind w:firstLine="482"/>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养护面积：绿地总面积550411.9平方米，其中含原生绿地（芦苇荡）167869平方米、乌龙江湿地公园主入口广场、办公楼、停车场周边绿地；部分绿地毗邻城市道路，需借用城市道路进行养护。公园主要开花植物有美丽异木棉、蓝花楹、黄花风铃木、碧桃、三角梅、小叶紫薇等；需要特殊绿化养护的植物有茉莉花、福桔、水杉。</w:t>
      </w:r>
    </w:p>
    <w:p>
      <w:pPr>
        <w:pStyle w:val="17"/>
        <w:keepNext w:val="0"/>
        <w:keepLines w:val="0"/>
        <w:pageBreakBefore w:val="0"/>
        <w:widowControl/>
        <w:kinsoku/>
        <w:wordWrap/>
        <w:overflowPunct/>
        <w:topLinePunct w:val="0"/>
        <w:autoSpaceDE/>
        <w:autoSpaceDN/>
        <w:bidi w:val="0"/>
        <w:adjustRightInd/>
        <w:snapToGrid/>
        <w:spacing w:before="0" w:after="0" w:line="288" w:lineRule="auto"/>
        <w:ind w:firstLine="482"/>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服务期限：36个月（起止时间为2027年1月1日至2029年12月31日）。如中标人月考核得分低于60分或合同(或协议)期内累计3次月考核得分低于80分的，采购人有权终止合同(或协议)并没收履约保证金的50%～100%，中标人须无条件按采购人要求办理移交、退场手续。</w:t>
      </w:r>
    </w:p>
    <w:tbl>
      <w:tblPr>
        <w:tblStyle w:val="6"/>
        <w:tblW w:w="0" w:type="auto"/>
        <w:tblInd w:w="18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76"/>
        <w:gridCol w:w="929"/>
        <w:gridCol w:w="1313"/>
        <w:gridCol w:w="2095"/>
        <w:gridCol w:w="1594"/>
        <w:gridCol w:w="132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17"/>
              <w:keepNext w:val="0"/>
              <w:keepLines w:val="0"/>
              <w:pageBreakBefore w:val="0"/>
              <w:kinsoku/>
              <w:wordWrap/>
              <w:overflowPunct/>
              <w:topLinePunct w:val="0"/>
              <w:autoSpaceDE/>
              <w:autoSpaceDN/>
              <w:bidi w:val="0"/>
              <w:adjustRightInd/>
              <w:snapToGrid/>
              <w:spacing w:before="105" w:after="105" w:line="288" w:lineRule="auto"/>
              <w:jc w:val="both"/>
              <w:rPr>
                <w:rFonts w:hint="eastAsia" w:ascii="仿宋" w:hAnsi="仿宋" w:eastAsia="仿宋" w:cs="仿宋"/>
                <w:bCs/>
                <w:color w:val="auto"/>
                <w:sz w:val="24"/>
                <w:szCs w:val="24"/>
              </w:rPr>
            </w:pPr>
            <w:r>
              <w:rPr>
                <w:rFonts w:hint="eastAsia" w:ascii="仿宋" w:hAnsi="仿宋" w:eastAsia="仿宋" w:cs="仿宋"/>
                <w:b w:val="0"/>
                <w:bCs/>
                <w:color w:val="auto"/>
                <w:sz w:val="24"/>
                <w:szCs w:val="24"/>
              </w:rPr>
              <w:t>项目名称</w:t>
            </w:r>
          </w:p>
        </w:tc>
        <w:tc>
          <w:tcPr>
            <w:tcW w:w="911"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bottom w:w="15" w:type="dxa"/>
              <w:right w:w="15" w:type="dxa"/>
            </w:tcMar>
            <w:vAlign w:val="top"/>
          </w:tcPr>
          <w:p>
            <w:pPr>
              <w:pStyle w:val="17"/>
              <w:keepNext w:val="0"/>
              <w:keepLines w:val="0"/>
              <w:pageBreakBefore w:val="0"/>
              <w:kinsoku/>
              <w:wordWrap/>
              <w:overflowPunct/>
              <w:topLinePunct w:val="0"/>
              <w:autoSpaceDE/>
              <w:autoSpaceDN/>
              <w:bidi w:val="0"/>
              <w:adjustRightInd/>
              <w:snapToGrid/>
              <w:spacing w:before="105" w:after="105" w:line="288" w:lineRule="auto"/>
              <w:jc w:val="both"/>
              <w:rPr>
                <w:rFonts w:hint="eastAsia" w:ascii="仿宋" w:hAnsi="仿宋" w:eastAsia="仿宋" w:cs="仿宋"/>
                <w:bCs/>
                <w:color w:val="auto"/>
                <w:sz w:val="24"/>
                <w:szCs w:val="24"/>
              </w:rPr>
            </w:pPr>
            <w:r>
              <w:rPr>
                <w:rFonts w:hint="eastAsia" w:ascii="仿宋" w:hAnsi="仿宋" w:eastAsia="仿宋" w:cs="仿宋"/>
                <w:b w:val="0"/>
                <w:bCs/>
                <w:color w:val="auto"/>
                <w:sz w:val="24"/>
                <w:szCs w:val="24"/>
              </w:rPr>
              <w:t>标段</w:t>
            </w:r>
          </w:p>
        </w:tc>
        <w:tc>
          <w:tcPr>
            <w:tcW w:w="1108"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bottom w:w="15" w:type="dxa"/>
              <w:right w:w="15" w:type="dxa"/>
            </w:tcMar>
            <w:vAlign w:val="top"/>
          </w:tcPr>
          <w:p>
            <w:pPr>
              <w:pStyle w:val="17"/>
              <w:keepNext w:val="0"/>
              <w:keepLines w:val="0"/>
              <w:pageBreakBefore w:val="0"/>
              <w:kinsoku/>
              <w:wordWrap/>
              <w:overflowPunct/>
              <w:topLinePunct w:val="0"/>
              <w:autoSpaceDE/>
              <w:autoSpaceDN/>
              <w:bidi w:val="0"/>
              <w:adjustRightInd/>
              <w:snapToGrid/>
              <w:spacing w:before="105" w:after="105" w:line="288" w:lineRule="auto"/>
              <w:jc w:val="both"/>
              <w:rPr>
                <w:rFonts w:hint="eastAsia" w:ascii="仿宋" w:hAnsi="仿宋" w:eastAsia="仿宋" w:cs="仿宋"/>
                <w:bCs/>
                <w:color w:val="auto"/>
                <w:sz w:val="24"/>
                <w:szCs w:val="24"/>
              </w:rPr>
            </w:pPr>
            <w:r>
              <w:rPr>
                <w:rFonts w:hint="eastAsia" w:ascii="仿宋" w:hAnsi="仿宋" w:eastAsia="仿宋" w:cs="仿宋"/>
                <w:b w:val="0"/>
                <w:bCs/>
                <w:color w:val="auto"/>
                <w:sz w:val="24"/>
                <w:szCs w:val="24"/>
              </w:rPr>
              <w:t>绿地总面积（ ㎡）</w:t>
            </w:r>
          </w:p>
        </w:tc>
        <w:tc>
          <w:tcPr>
            <w:tcW w:w="3689" w:type="dxa"/>
            <w:gridSpan w:val="2"/>
            <w:tcBorders>
              <w:top w:val="single" w:color="000000" w:sz="4" w:space="0"/>
              <w:left w:val="nil"/>
              <w:bottom w:val="single" w:color="000000" w:sz="4" w:space="0"/>
              <w:right w:val="single" w:color="000000" w:sz="4" w:space="0"/>
            </w:tcBorders>
            <w:shd w:val="clear" w:color="auto" w:fill="FFFFFF"/>
            <w:tcMar>
              <w:top w:w="15" w:type="dxa"/>
              <w:left w:w="15" w:type="dxa"/>
              <w:bottom w:w="15" w:type="dxa"/>
              <w:right w:w="15" w:type="dxa"/>
            </w:tcMar>
            <w:vAlign w:val="top"/>
          </w:tcPr>
          <w:p>
            <w:pPr>
              <w:pStyle w:val="17"/>
              <w:keepNext w:val="0"/>
              <w:keepLines w:val="0"/>
              <w:pageBreakBefore w:val="0"/>
              <w:kinsoku/>
              <w:wordWrap/>
              <w:overflowPunct/>
              <w:topLinePunct w:val="0"/>
              <w:autoSpaceDE/>
              <w:autoSpaceDN/>
              <w:bidi w:val="0"/>
              <w:adjustRightInd/>
              <w:snapToGrid/>
              <w:spacing w:before="105" w:after="105" w:line="288" w:lineRule="auto"/>
              <w:ind w:firstLine="380"/>
              <w:jc w:val="center"/>
              <w:rPr>
                <w:rFonts w:hint="eastAsia" w:ascii="仿宋" w:hAnsi="仿宋" w:eastAsia="仿宋" w:cs="仿宋"/>
                <w:bCs/>
                <w:color w:val="auto"/>
                <w:sz w:val="24"/>
                <w:szCs w:val="24"/>
              </w:rPr>
            </w:pPr>
            <w:r>
              <w:rPr>
                <w:rFonts w:hint="eastAsia" w:ascii="仿宋" w:hAnsi="仿宋" w:eastAsia="仿宋" w:cs="仿宋"/>
                <w:b w:val="0"/>
                <w:bCs/>
                <w:color w:val="auto"/>
                <w:sz w:val="24"/>
                <w:szCs w:val="24"/>
              </w:rPr>
              <w:t>其中包含</w:t>
            </w:r>
          </w:p>
        </w:tc>
        <w:tc>
          <w:tcPr>
            <w:tcW w:w="1321" w:type="dxa"/>
            <w:tcBorders>
              <w:top w:val="single" w:color="000000" w:sz="4" w:space="0"/>
              <w:left w:val="nil"/>
              <w:bottom w:val="single" w:color="000000" w:sz="4" w:space="0"/>
              <w:right w:val="single" w:color="000000" w:sz="4" w:space="0"/>
            </w:tcBorders>
            <w:shd w:val="clear" w:color="auto" w:fill="FFFFFF"/>
            <w:tcMar>
              <w:top w:w="15" w:type="dxa"/>
              <w:left w:w="15" w:type="dxa"/>
              <w:bottom w:w="15" w:type="dxa"/>
              <w:right w:w="15" w:type="dxa"/>
            </w:tcMar>
            <w:vAlign w:val="top"/>
          </w:tcPr>
          <w:p>
            <w:pPr>
              <w:pStyle w:val="17"/>
              <w:keepNext w:val="0"/>
              <w:keepLines w:val="0"/>
              <w:pageBreakBefore w:val="0"/>
              <w:kinsoku/>
              <w:wordWrap/>
              <w:overflowPunct/>
              <w:topLinePunct w:val="0"/>
              <w:autoSpaceDE/>
              <w:autoSpaceDN/>
              <w:bidi w:val="0"/>
              <w:adjustRightInd/>
              <w:snapToGrid/>
              <w:spacing w:before="105" w:after="105" w:line="288" w:lineRule="auto"/>
              <w:ind w:firstLine="380"/>
              <w:jc w:val="center"/>
              <w:rPr>
                <w:rFonts w:hint="eastAsia" w:ascii="仿宋" w:hAnsi="仿宋" w:eastAsia="仿宋" w:cs="仿宋"/>
                <w:color w:val="auto"/>
                <w:sz w:val="24"/>
                <w:szCs w:val="24"/>
              </w:rPr>
            </w:pPr>
            <w:r>
              <w:rPr>
                <w:rFonts w:hint="eastAsia" w:ascii="仿宋" w:hAnsi="仿宋" w:eastAsia="仿宋" w:cs="仿宋"/>
                <w:b/>
                <w:color w:val="auto"/>
                <w:sz w:val="24"/>
                <w:szCs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6" w:type="dxa"/>
            <w:vMerge w:val="continue"/>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bCs/>
                <w:color w:val="auto"/>
                <w:sz w:val="24"/>
                <w:szCs w:val="24"/>
              </w:rPr>
            </w:pPr>
          </w:p>
        </w:tc>
        <w:tc>
          <w:tcPr>
            <w:tcW w:w="911" w:type="dxa"/>
            <w:vMerge w:val="continue"/>
            <w:tcBorders>
              <w:top w:val="single" w:color="000000" w:sz="4" w:space="0"/>
              <w:left w:val="nil"/>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bCs/>
                <w:color w:val="auto"/>
                <w:sz w:val="24"/>
                <w:szCs w:val="24"/>
              </w:rPr>
            </w:pPr>
          </w:p>
        </w:tc>
        <w:tc>
          <w:tcPr>
            <w:tcW w:w="1108" w:type="dxa"/>
            <w:vMerge w:val="continue"/>
            <w:tcBorders>
              <w:top w:val="single" w:color="000000" w:sz="4" w:space="0"/>
              <w:left w:val="nil"/>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bCs/>
                <w:color w:val="auto"/>
                <w:sz w:val="24"/>
                <w:szCs w:val="24"/>
              </w:rPr>
            </w:pPr>
          </w:p>
        </w:tc>
        <w:tc>
          <w:tcPr>
            <w:tcW w:w="2095"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top"/>
          </w:tcPr>
          <w:p>
            <w:pPr>
              <w:pStyle w:val="17"/>
              <w:keepNext w:val="0"/>
              <w:keepLines w:val="0"/>
              <w:pageBreakBefore w:val="0"/>
              <w:kinsoku/>
              <w:wordWrap/>
              <w:overflowPunct/>
              <w:topLinePunct w:val="0"/>
              <w:autoSpaceDE/>
              <w:autoSpaceDN/>
              <w:bidi w:val="0"/>
              <w:adjustRightInd/>
              <w:snapToGrid/>
              <w:spacing w:before="105" w:after="105" w:line="288" w:lineRule="auto"/>
              <w:jc w:val="both"/>
              <w:rPr>
                <w:rFonts w:hint="eastAsia" w:ascii="仿宋" w:hAnsi="仿宋" w:eastAsia="仿宋" w:cs="仿宋"/>
                <w:bCs/>
                <w:color w:val="auto"/>
                <w:sz w:val="24"/>
                <w:szCs w:val="24"/>
              </w:rPr>
            </w:pPr>
            <w:r>
              <w:rPr>
                <w:rFonts w:hint="eastAsia" w:ascii="仿宋" w:hAnsi="仿宋" w:eastAsia="仿宋" w:cs="仿宋"/>
                <w:b w:val="0"/>
                <w:bCs/>
                <w:color w:val="auto"/>
                <w:sz w:val="24"/>
                <w:szCs w:val="24"/>
              </w:rPr>
              <w:t>原生绿地（芦苇荡）面积（㎡）</w:t>
            </w:r>
          </w:p>
        </w:tc>
        <w:tc>
          <w:tcPr>
            <w:tcW w:w="1594"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top"/>
          </w:tcPr>
          <w:p>
            <w:pPr>
              <w:pStyle w:val="17"/>
              <w:keepNext w:val="0"/>
              <w:keepLines w:val="0"/>
              <w:pageBreakBefore w:val="0"/>
              <w:kinsoku/>
              <w:wordWrap/>
              <w:overflowPunct/>
              <w:topLinePunct w:val="0"/>
              <w:autoSpaceDE/>
              <w:autoSpaceDN/>
              <w:bidi w:val="0"/>
              <w:adjustRightInd/>
              <w:snapToGrid/>
              <w:spacing w:before="105" w:after="105" w:line="288" w:lineRule="auto"/>
              <w:jc w:val="both"/>
              <w:rPr>
                <w:rFonts w:hint="eastAsia" w:ascii="仿宋" w:hAnsi="仿宋" w:eastAsia="仿宋" w:cs="仿宋"/>
                <w:bCs/>
                <w:color w:val="auto"/>
                <w:sz w:val="24"/>
                <w:szCs w:val="24"/>
              </w:rPr>
            </w:pPr>
            <w:r>
              <w:rPr>
                <w:rFonts w:hint="eastAsia" w:ascii="仿宋" w:hAnsi="仿宋" w:eastAsia="仿宋" w:cs="仿宋"/>
                <w:b w:val="0"/>
                <w:bCs/>
                <w:color w:val="auto"/>
                <w:sz w:val="24"/>
                <w:szCs w:val="24"/>
              </w:rPr>
              <w:t>建设绿地面积（㎡）</w:t>
            </w:r>
          </w:p>
        </w:tc>
        <w:tc>
          <w:tcPr>
            <w:tcW w:w="1321" w:type="dxa"/>
            <w:tcBorders>
              <w:top w:val="single" w:color="000000" w:sz="4" w:space="0"/>
              <w:left w:val="nil"/>
              <w:bottom w:val="single" w:color="000000" w:sz="4" w:space="0"/>
              <w:right w:val="single" w:color="000000" w:sz="4" w:space="0"/>
            </w:tcBorders>
            <w:shd w:val="clear" w:color="auto" w:fill="FFFFFF"/>
            <w:tcMar>
              <w:top w:w="15" w:type="dxa"/>
              <w:left w:w="15" w:type="dxa"/>
              <w:bottom w:w="15" w:type="dxa"/>
              <w:right w:w="15" w:type="dxa"/>
            </w:tcMar>
            <w:vAlign w:val="top"/>
          </w:tcPr>
          <w:p>
            <w:pPr>
              <w:pStyle w:val="17"/>
              <w:keepNext w:val="0"/>
              <w:keepLines w:val="0"/>
              <w:pageBreakBefore w:val="0"/>
              <w:kinsoku/>
              <w:wordWrap/>
              <w:overflowPunct/>
              <w:topLinePunct w:val="0"/>
              <w:autoSpaceDE/>
              <w:autoSpaceDN/>
              <w:bidi w:val="0"/>
              <w:adjustRightInd/>
              <w:snapToGrid/>
              <w:spacing w:before="105" w:after="105" w:line="288" w:lineRule="auto"/>
              <w:ind w:firstLine="480"/>
              <w:jc w:val="center"/>
              <w:rPr>
                <w:rFonts w:hint="eastAsia" w:ascii="仿宋" w:hAnsi="仿宋" w:eastAsia="仿宋" w:cs="仿宋"/>
                <w:color w:val="auto"/>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6"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17"/>
              <w:keepNext w:val="0"/>
              <w:keepLines w:val="0"/>
              <w:pageBreakBefore w:val="0"/>
              <w:kinsoku/>
              <w:wordWrap/>
              <w:overflowPunct/>
              <w:topLinePunct w:val="0"/>
              <w:autoSpaceDE/>
              <w:autoSpaceDN/>
              <w:bidi w:val="0"/>
              <w:adjustRightInd/>
              <w:snapToGrid/>
              <w:spacing w:before="105" w:after="105" w:line="288" w:lineRule="auto"/>
              <w:ind w:firstLine="38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环南台岛滨江休闲路淮安大桥至三环段</w:t>
            </w:r>
          </w:p>
        </w:tc>
        <w:tc>
          <w:tcPr>
            <w:tcW w:w="911"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top"/>
          </w:tcPr>
          <w:p>
            <w:pPr>
              <w:pStyle w:val="17"/>
              <w:keepNext w:val="0"/>
              <w:keepLines w:val="0"/>
              <w:pageBreakBefore w:val="0"/>
              <w:kinsoku/>
              <w:wordWrap/>
              <w:overflowPunct/>
              <w:topLinePunct w:val="0"/>
              <w:autoSpaceDE/>
              <w:autoSpaceDN/>
              <w:bidi w:val="0"/>
              <w:adjustRightInd/>
              <w:snapToGrid/>
              <w:spacing w:before="105" w:after="105" w:line="288" w:lineRule="auto"/>
              <w:ind w:firstLine="380"/>
              <w:jc w:val="center"/>
              <w:rPr>
                <w:rFonts w:hint="eastAsia" w:ascii="仿宋" w:hAnsi="仿宋" w:eastAsia="仿宋" w:cs="仿宋"/>
                <w:bCs/>
                <w:color w:val="auto"/>
                <w:sz w:val="24"/>
                <w:szCs w:val="24"/>
              </w:rPr>
            </w:pPr>
            <w:r>
              <w:rPr>
                <w:rFonts w:hint="eastAsia" w:ascii="仿宋" w:hAnsi="仿宋" w:eastAsia="仿宋" w:cs="仿宋"/>
                <w:b w:val="0"/>
                <w:bCs/>
                <w:color w:val="auto"/>
                <w:sz w:val="24"/>
                <w:szCs w:val="24"/>
              </w:rPr>
              <w:t>——</w:t>
            </w:r>
          </w:p>
        </w:tc>
        <w:tc>
          <w:tcPr>
            <w:tcW w:w="1108"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top"/>
          </w:tcPr>
          <w:p>
            <w:pPr>
              <w:pStyle w:val="17"/>
              <w:keepNext w:val="0"/>
              <w:keepLines w:val="0"/>
              <w:pageBreakBefore w:val="0"/>
              <w:kinsoku/>
              <w:wordWrap/>
              <w:overflowPunct/>
              <w:topLinePunct w:val="0"/>
              <w:autoSpaceDE/>
              <w:autoSpaceDN/>
              <w:bidi w:val="0"/>
              <w:adjustRightInd/>
              <w:snapToGrid/>
              <w:spacing w:before="105" w:after="105" w:line="288" w:lineRule="auto"/>
              <w:ind w:firstLine="380"/>
              <w:jc w:val="center"/>
              <w:rPr>
                <w:rFonts w:hint="eastAsia" w:ascii="仿宋" w:hAnsi="仿宋" w:eastAsia="仿宋" w:cs="仿宋"/>
                <w:bCs/>
                <w:color w:val="auto"/>
                <w:sz w:val="24"/>
                <w:szCs w:val="24"/>
              </w:rPr>
            </w:pPr>
            <w:r>
              <w:rPr>
                <w:rFonts w:hint="eastAsia" w:ascii="仿宋" w:hAnsi="仿宋" w:eastAsia="仿宋" w:cs="仿宋"/>
                <w:b w:val="0"/>
                <w:bCs/>
                <w:color w:val="auto"/>
                <w:sz w:val="24"/>
                <w:szCs w:val="24"/>
              </w:rPr>
              <w:t>23008.9</w:t>
            </w:r>
          </w:p>
        </w:tc>
        <w:tc>
          <w:tcPr>
            <w:tcW w:w="2095"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top"/>
          </w:tcPr>
          <w:p>
            <w:pPr>
              <w:pStyle w:val="17"/>
              <w:keepNext w:val="0"/>
              <w:keepLines w:val="0"/>
              <w:pageBreakBefore w:val="0"/>
              <w:kinsoku/>
              <w:wordWrap/>
              <w:overflowPunct/>
              <w:topLinePunct w:val="0"/>
              <w:autoSpaceDE/>
              <w:autoSpaceDN/>
              <w:bidi w:val="0"/>
              <w:adjustRightInd/>
              <w:snapToGrid/>
              <w:spacing w:before="105" w:after="105" w:line="288" w:lineRule="auto"/>
              <w:ind w:firstLine="380"/>
              <w:jc w:val="center"/>
              <w:rPr>
                <w:rFonts w:hint="eastAsia" w:ascii="仿宋" w:hAnsi="仿宋" w:eastAsia="仿宋" w:cs="仿宋"/>
                <w:bCs/>
                <w:color w:val="auto"/>
                <w:sz w:val="24"/>
                <w:szCs w:val="24"/>
              </w:rPr>
            </w:pPr>
            <w:r>
              <w:rPr>
                <w:rFonts w:hint="eastAsia" w:ascii="仿宋" w:hAnsi="仿宋" w:eastAsia="仿宋" w:cs="仿宋"/>
                <w:b w:val="0"/>
                <w:bCs/>
                <w:color w:val="auto"/>
                <w:sz w:val="24"/>
                <w:szCs w:val="24"/>
              </w:rPr>
              <w:t>——</w:t>
            </w:r>
          </w:p>
        </w:tc>
        <w:tc>
          <w:tcPr>
            <w:tcW w:w="1594"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top"/>
          </w:tcPr>
          <w:p>
            <w:pPr>
              <w:pStyle w:val="17"/>
              <w:keepNext w:val="0"/>
              <w:keepLines w:val="0"/>
              <w:pageBreakBefore w:val="0"/>
              <w:kinsoku/>
              <w:wordWrap/>
              <w:overflowPunct/>
              <w:topLinePunct w:val="0"/>
              <w:autoSpaceDE/>
              <w:autoSpaceDN/>
              <w:bidi w:val="0"/>
              <w:adjustRightInd/>
              <w:snapToGrid/>
              <w:spacing w:before="105" w:after="105" w:line="288" w:lineRule="auto"/>
              <w:ind w:firstLine="380"/>
              <w:jc w:val="center"/>
              <w:rPr>
                <w:rFonts w:hint="eastAsia" w:ascii="仿宋" w:hAnsi="仿宋" w:eastAsia="仿宋" w:cs="仿宋"/>
                <w:bCs/>
                <w:color w:val="auto"/>
                <w:sz w:val="24"/>
                <w:szCs w:val="24"/>
              </w:rPr>
            </w:pPr>
            <w:r>
              <w:rPr>
                <w:rFonts w:hint="eastAsia" w:ascii="仿宋" w:hAnsi="仿宋" w:eastAsia="仿宋" w:cs="仿宋"/>
                <w:b w:val="0"/>
                <w:bCs/>
                <w:color w:val="auto"/>
                <w:sz w:val="24"/>
                <w:szCs w:val="24"/>
              </w:rPr>
              <w:t>23008.9</w:t>
            </w:r>
          </w:p>
        </w:tc>
        <w:tc>
          <w:tcPr>
            <w:tcW w:w="1321" w:type="dxa"/>
            <w:vMerge w:val="restart"/>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top"/>
          </w:tcPr>
          <w:p>
            <w:pPr>
              <w:pStyle w:val="17"/>
              <w:keepNext w:val="0"/>
              <w:keepLines w:val="0"/>
              <w:pageBreakBefore w:val="0"/>
              <w:kinsoku/>
              <w:wordWrap/>
              <w:overflowPunct/>
              <w:topLinePunct w:val="0"/>
              <w:autoSpaceDE/>
              <w:autoSpaceDN/>
              <w:bidi w:val="0"/>
              <w:adjustRightInd/>
              <w:snapToGrid/>
              <w:spacing w:before="105" w:after="105" w:line="288" w:lineRule="auto"/>
              <w:jc w:val="both"/>
              <w:rPr>
                <w:rFonts w:hint="eastAsia" w:ascii="仿宋" w:hAnsi="仿宋" w:eastAsia="仿宋" w:cs="仿宋"/>
                <w:color w:val="auto"/>
                <w:sz w:val="24"/>
                <w:szCs w:val="24"/>
                <w:lang w:eastAsia="zh-CN"/>
              </w:rPr>
            </w:pPr>
            <w:r>
              <w:rPr>
                <w:rFonts w:hint="eastAsia" w:ascii="仿宋" w:hAnsi="仿宋" w:eastAsia="仿宋" w:cs="仿宋"/>
                <w:b w:val="0"/>
                <w:bCs/>
                <w:color w:val="auto"/>
                <w:sz w:val="24"/>
                <w:szCs w:val="24"/>
              </w:rPr>
              <w:t>具体养护费用按实际养护面积及养护时间核定。管理区域如有调整，根据绿化养护面积的实际增减数量，按单位面积中标单价，对中标价进行核增或核减</w:t>
            </w:r>
            <w:r>
              <w:rPr>
                <w:rFonts w:hint="eastAsia" w:ascii="仿宋" w:hAnsi="仿宋" w:eastAsia="仿宋" w:cs="仿宋"/>
                <w:b w:val="0"/>
                <w:bCs/>
                <w:color w:val="auto"/>
                <w:sz w:val="24"/>
                <w:szCs w:val="24"/>
                <w:lang w:eastAsia="zh-CN"/>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6"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17"/>
              <w:keepNext w:val="0"/>
              <w:keepLines w:val="0"/>
              <w:pageBreakBefore w:val="0"/>
              <w:kinsoku/>
              <w:wordWrap/>
              <w:overflowPunct/>
              <w:topLinePunct w:val="0"/>
              <w:autoSpaceDE/>
              <w:autoSpaceDN/>
              <w:bidi w:val="0"/>
              <w:adjustRightInd/>
              <w:snapToGrid/>
              <w:spacing w:before="105" w:after="105" w:line="288" w:lineRule="auto"/>
              <w:ind w:firstLine="38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环南台岛滨江绿化工程（淮安至橘园洲大桥段）</w:t>
            </w:r>
          </w:p>
        </w:tc>
        <w:tc>
          <w:tcPr>
            <w:tcW w:w="911"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top"/>
          </w:tcPr>
          <w:p>
            <w:pPr>
              <w:pStyle w:val="17"/>
              <w:keepNext w:val="0"/>
              <w:keepLines w:val="0"/>
              <w:pageBreakBefore w:val="0"/>
              <w:kinsoku/>
              <w:wordWrap/>
              <w:overflowPunct/>
              <w:topLinePunct w:val="0"/>
              <w:autoSpaceDE/>
              <w:autoSpaceDN/>
              <w:bidi w:val="0"/>
              <w:adjustRightInd/>
              <w:snapToGrid/>
              <w:spacing w:before="105" w:after="105" w:line="288" w:lineRule="auto"/>
              <w:ind w:firstLine="380"/>
              <w:jc w:val="center"/>
              <w:rPr>
                <w:rFonts w:hint="eastAsia" w:ascii="仿宋" w:hAnsi="仿宋" w:eastAsia="仿宋" w:cs="仿宋"/>
                <w:bCs/>
                <w:color w:val="auto"/>
                <w:sz w:val="24"/>
                <w:szCs w:val="24"/>
              </w:rPr>
            </w:pPr>
            <w:r>
              <w:rPr>
                <w:rFonts w:hint="eastAsia" w:ascii="仿宋" w:hAnsi="仿宋" w:eastAsia="仿宋" w:cs="仿宋"/>
                <w:b w:val="0"/>
                <w:bCs/>
                <w:color w:val="auto"/>
                <w:sz w:val="24"/>
                <w:szCs w:val="24"/>
              </w:rPr>
              <w:t>7标段</w:t>
            </w:r>
          </w:p>
        </w:tc>
        <w:tc>
          <w:tcPr>
            <w:tcW w:w="1108"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top"/>
          </w:tcPr>
          <w:p>
            <w:pPr>
              <w:pStyle w:val="17"/>
              <w:keepNext w:val="0"/>
              <w:keepLines w:val="0"/>
              <w:pageBreakBefore w:val="0"/>
              <w:kinsoku/>
              <w:wordWrap/>
              <w:overflowPunct/>
              <w:topLinePunct w:val="0"/>
              <w:autoSpaceDE/>
              <w:autoSpaceDN/>
              <w:bidi w:val="0"/>
              <w:adjustRightInd/>
              <w:snapToGrid/>
              <w:spacing w:before="105" w:after="105" w:line="288" w:lineRule="auto"/>
              <w:ind w:firstLine="380"/>
              <w:jc w:val="center"/>
              <w:rPr>
                <w:rFonts w:hint="eastAsia" w:ascii="仿宋" w:hAnsi="仿宋" w:eastAsia="仿宋" w:cs="仿宋"/>
                <w:bCs/>
                <w:color w:val="auto"/>
                <w:sz w:val="24"/>
                <w:szCs w:val="24"/>
              </w:rPr>
            </w:pPr>
            <w:r>
              <w:rPr>
                <w:rFonts w:hint="eastAsia" w:ascii="仿宋" w:hAnsi="仿宋" w:eastAsia="仿宋" w:cs="仿宋"/>
                <w:b w:val="0"/>
                <w:bCs/>
                <w:color w:val="auto"/>
                <w:sz w:val="24"/>
                <w:szCs w:val="24"/>
              </w:rPr>
              <w:t>144455</w:t>
            </w:r>
          </w:p>
        </w:tc>
        <w:tc>
          <w:tcPr>
            <w:tcW w:w="2095"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top"/>
          </w:tcPr>
          <w:p>
            <w:pPr>
              <w:pStyle w:val="17"/>
              <w:keepNext w:val="0"/>
              <w:keepLines w:val="0"/>
              <w:pageBreakBefore w:val="0"/>
              <w:kinsoku/>
              <w:wordWrap/>
              <w:overflowPunct/>
              <w:topLinePunct w:val="0"/>
              <w:autoSpaceDE/>
              <w:autoSpaceDN/>
              <w:bidi w:val="0"/>
              <w:adjustRightInd/>
              <w:snapToGrid/>
              <w:spacing w:before="105" w:after="105" w:line="288" w:lineRule="auto"/>
              <w:ind w:firstLine="380"/>
              <w:jc w:val="center"/>
              <w:rPr>
                <w:rFonts w:hint="eastAsia" w:ascii="仿宋" w:hAnsi="仿宋" w:eastAsia="仿宋" w:cs="仿宋"/>
                <w:bCs/>
                <w:color w:val="auto"/>
                <w:sz w:val="24"/>
                <w:szCs w:val="24"/>
              </w:rPr>
            </w:pPr>
            <w:r>
              <w:rPr>
                <w:rFonts w:hint="eastAsia" w:ascii="仿宋" w:hAnsi="仿宋" w:eastAsia="仿宋" w:cs="仿宋"/>
                <w:b w:val="0"/>
                <w:bCs/>
                <w:color w:val="auto"/>
                <w:sz w:val="24"/>
                <w:szCs w:val="24"/>
              </w:rPr>
              <w:t>——</w:t>
            </w:r>
          </w:p>
        </w:tc>
        <w:tc>
          <w:tcPr>
            <w:tcW w:w="1594"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top"/>
          </w:tcPr>
          <w:p>
            <w:pPr>
              <w:pStyle w:val="17"/>
              <w:keepNext w:val="0"/>
              <w:keepLines w:val="0"/>
              <w:pageBreakBefore w:val="0"/>
              <w:kinsoku/>
              <w:wordWrap/>
              <w:overflowPunct/>
              <w:topLinePunct w:val="0"/>
              <w:autoSpaceDE/>
              <w:autoSpaceDN/>
              <w:bidi w:val="0"/>
              <w:adjustRightInd/>
              <w:snapToGrid/>
              <w:spacing w:before="105" w:after="105" w:line="288" w:lineRule="auto"/>
              <w:ind w:firstLine="380"/>
              <w:jc w:val="center"/>
              <w:rPr>
                <w:rFonts w:hint="eastAsia" w:ascii="仿宋" w:hAnsi="仿宋" w:eastAsia="仿宋" w:cs="仿宋"/>
                <w:bCs/>
                <w:color w:val="auto"/>
                <w:sz w:val="24"/>
                <w:szCs w:val="24"/>
              </w:rPr>
            </w:pPr>
            <w:r>
              <w:rPr>
                <w:rFonts w:hint="eastAsia" w:ascii="仿宋" w:hAnsi="仿宋" w:eastAsia="仿宋" w:cs="仿宋"/>
                <w:b w:val="0"/>
                <w:bCs/>
                <w:color w:val="auto"/>
                <w:sz w:val="24"/>
                <w:szCs w:val="24"/>
              </w:rPr>
              <w:t>144455</w:t>
            </w:r>
          </w:p>
        </w:tc>
        <w:tc>
          <w:tcPr>
            <w:tcW w:w="1321" w:type="dxa"/>
            <w:vMerge w:val="continue"/>
            <w:tcBorders>
              <w:top w:val="nil"/>
              <w:left w:val="nil"/>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6"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top"/>
          </w:tcPr>
          <w:p>
            <w:pPr>
              <w:pStyle w:val="17"/>
              <w:keepNext w:val="0"/>
              <w:keepLines w:val="0"/>
              <w:pageBreakBefore w:val="0"/>
              <w:kinsoku/>
              <w:wordWrap/>
              <w:overflowPunct/>
              <w:topLinePunct w:val="0"/>
              <w:autoSpaceDE/>
              <w:autoSpaceDN/>
              <w:bidi w:val="0"/>
              <w:adjustRightInd/>
              <w:snapToGrid/>
              <w:spacing w:before="105" w:after="105" w:line="288" w:lineRule="auto"/>
              <w:ind w:firstLine="380"/>
              <w:jc w:val="center"/>
              <w:rPr>
                <w:rFonts w:hint="eastAsia" w:ascii="仿宋" w:hAnsi="仿宋" w:eastAsia="仿宋" w:cs="仿宋"/>
                <w:bCs/>
                <w:color w:val="auto"/>
                <w:sz w:val="24"/>
                <w:szCs w:val="24"/>
              </w:rPr>
            </w:pPr>
            <w:r>
              <w:rPr>
                <w:rFonts w:hint="eastAsia" w:ascii="仿宋" w:hAnsi="仿宋" w:eastAsia="仿宋" w:cs="仿宋"/>
                <w:b w:val="0"/>
                <w:bCs/>
                <w:color w:val="auto"/>
                <w:sz w:val="24"/>
                <w:szCs w:val="24"/>
              </w:rPr>
              <w:t>环南台岛滨江绿化工程（橘园洲至湾边大桥段）</w:t>
            </w:r>
          </w:p>
        </w:tc>
        <w:tc>
          <w:tcPr>
            <w:tcW w:w="911"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top"/>
          </w:tcPr>
          <w:p>
            <w:pPr>
              <w:pStyle w:val="17"/>
              <w:keepNext w:val="0"/>
              <w:keepLines w:val="0"/>
              <w:pageBreakBefore w:val="0"/>
              <w:kinsoku/>
              <w:wordWrap/>
              <w:overflowPunct/>
              <w:topLinePunct w:val="0"/>
              <w:autoSpaceDE/>
              <w:autoSpaceDN/>
              <w:bidi w:val="0"/>
              <w:adjustRightInd/>
              <w:snapToGrid/>
              <w:spacing w:before="105" w:after="105" w:line="288" w:lineRule="auto"/>
              <w:ind w:firstLine="380"/>
              <w:jc w:val="center"/>
              <w:rPr>
                <w:rFonts w:hint="eastAsia" w:ascii="仿宋" w:hAnsi="仿宋" w:eastAsia="仿宋" w:cs="仿宋"/>
                <w:bCs/>
                <w:color w:val="auto"/>
                <w:sz w:val="24"/>
                <w:szCs w:val="24"/>
              </w:rPr>
            </w:pPr>
            <w:r>
              <w:rPr>
                <w:rFonts w:hint="eastAsia" w:ascii="仿宋" w:hAnsi="仿宋" w:eastAsia="仿宋" w:cs="仿宋"/>
                <w:b w:val="0"/>
                <w:bCs/>
                <w:color w:val="auto"/>
                <w:sz w:val="24"/>
                <w:szCs w:val="24"/>
              </w:rPr>
              <w:t>1标段</w:t>
            </w:r>
          </w:p>
        </w:tc>
        <w:tc>
          <w:tcPr>
            <w:tcW w:w="1108"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top"/>
          </w:tcPr>
          <w:p>
            <w:pPr>
              <w:pStyle w:val="17"/>
              <w:keepNext w:val="0"/>
              <w:keepLines w:val="0"/>
              <w:pageBreakBefore w:val="0"/>
              <w:kinsoku/>
              <w:wordWrap/>
              <w:overflowPunct/>
              <w:topLinePunct w:val="0"/>
              <w:autoSpaceDE/>
              <w:autoSpaceDN/>
              <w:bidi w:val="0"/>
              <w:adjustRightInd/>
              <w:snapToGrid/>
              <w:spacing w:before="105" w:after="105" w:line="288" w:lineRule="auto"/>
              <w:ind w:firstLine="380"/>
              <w:jc w:val="center"/>
              <w:rPr>
                <w:rFonts w:hint="eastAsia" w:ascii="仿宋" w:hAnsi="仿宋" w:eastAsia="仿宋" w:cs="仿宋"/>
                <w:bCs/>
                <w:color w:val="auto"/>
                <w:sz w:val="24"/>
                <w:szCs w:val="24"/>
              </w:rPr>
            </w:pPr>
            <w:r>
              <w:rPr>
                <w:rFonts w:hint="eastAsia" w:ascii="仿宋" w:hAnsi="仿宋" w:eastAsia="仿宋" w:cs="仿宋"/>
                <w:b w:val="0"/>
                <w:bCs/>
                <w:color w:val="auto"/>
                <w:sz w:val="24"/>
                <w:szCs w:val="24"/>
              </w:rPr>
              <w:t>144774</w:t>
            </w:r>
          </w:p>
        </w:tc>
        <w:tc>
          <w:tcPr>
            <w:tcW w:w="2095"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top"/>
          </w:tcPr>
          <w:p>
            <w:pPr>
              <w:pStyle w:val="17"/>
              <w:keepNext w:val="0"/>
              <w:keepLines w:val="0"/>
              <w:pageBreakBefore w:val="0"/>
              <w:kinsoku/>
              <w:wordWrap/>
              <w:overflowPunct/>
              <w:topLinePunct w:val="0"/>
              <w:autoSpaceDE/>
              <w:autoSpaceDN/>
              <w:bidi w:val="0"/>
              <w:adjustRightInd/>
              <w:snapToGrid/>
              <w:spacing w:before="105" w:after="105" w:line="288" w:lineRule="auto"/>
              <w:ind w:firstLine="380"/>
              <w:jc w:val="center"/>
              <w:rPr>
                <w:rFonts w:hint="eastAsia" w:ascii="仿宋" w:hAnsi="仿宋" w:eastAsia="仿宋" w:cs="仿宋"/>
                <w:bCs/>
                <w:color w:val="auto"/>
                <w:sz w:val="24"/>
                <w:szCs w:val="24"/>
              </w:rPr>
            </w:pPr>
            <w:r>
              <w:rPr>
                <w:rFonts w:hint="eastAsia" w:ascii="仿宋" w:hAnsi="仿宋" w:eastAsia="仿宋" w:cs="仿宋"/>
                <w:b w:val="0"/>
                <w:bCs/>
                <w:color w:val="auto"/>
                <w:sz w:val="24"/>
                <w:szCs w:val="24"/>
              </w:rPr>
              <w:t>57589</w:t>
            </w:r>
          </w:p>
        </w:tc>
        <w:tc>
          <w:tcPr>
            <w:tcW w:w="1594"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top"/>
          </w:tcPr>
          <w:p>
            <w:pPr>
              <w:pStyle w:val="17"/>
              <w:keepNext w:val="0"/>
              <w:keepLines w:val="0"/>
              <w:pageBreakBefore w:val="0"/>
              <w:kinsoku/>
              <w:wordWrap/>
              <w:overflowPunct/>
              <w:topLinePunct w:val="0"/>
              <w:autoSpaceDE/>
              <w:autoSpaceDN/>
              <w:bidi w:val="0"/>
              <w:adjustRightInd/>
              <w:snapToGrid/>
              <w:spacing w:before="105" w:after="105" w:line="288" w:lineRule="auto"/>
              <w:ind w:firstLine="380"/>
              <w:jc w:val="center"/>
              <w:rPr>
                <w:rFonts w:hint="eastAsia" w:ascii="仿宋" w:hAnsi="仿宋" w:eastAsia="仿宋" w:cs="仿宋"/>
                <w:bCs/>
                <w:color w:val="auto"/>
                <w:sz w:val="24"/>
                <w:szCs w:val="24"/>
              </w:rPr>
            </w:pPr>
            <w:r>
              <w:rPr>
                <w:rFonts w:hint="eastAsia" w:ascii="仿宋" w:hAnsi="仿宋" w:eastAsia="仿宋" w:cs="仿宋"/>
                <w:b w:val="0"/>
                <w:bCs/>
                <w:color w:val="auto"/>
                <w:sz w:val="24"/>
                <w:szCs w:val="24"/>
              </w:rPr>
              <w:t>87185</w:t>
            </w:r>
          </w:p>
        </w:tc>
        <w:tc>
          <w:tcPr>
            <w:tcW w:w="1321" w:type="dxa"/>
            <w:vMerge w:val="continue"/>
            <w:tcBorders>
              <w:top w:val="nil"/>
              <w:left w:val="nil"/>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76" w:type="dxa"/>
            <w:vMerge w:val="continue"/>
            <w:tcBorders>
              <w:top w:val="nil"/>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bCs/>
                <w:color w:val="auto"/>
                <w:sz w:val="24"/>
                <w:szCs w:val="24"/>
              </w:rPr>
            </w:pPr>
          </w:p>
        </w:tc>
        <w:tc>
          <w:tcPr>
            <w:tcW w:w="911"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top"/>
          </w:tcPr>
          <w:p>
            <w:pPr>
              <w:pStyle w:val="17"/>
              <w:keepNext w:val="0"/>
              <w:keepLines w:val="0"/>
              <w:pageBreakBefore w:val="0"/>
              <w:kinsoku/>
              <w:wordWrap/>
              <w:overflowPunct/>
              <w:topLinePunct w:val="0"/>
              <w:autoSpaceDE/>
              <w:autoSpaceDN/>
              <w:bidi w:val="0"/>
              <w:adjustRightInd/>
              <w:snapToGrid/>
              <w:spacing w:before="105" w:after="105" w:line="288" w:lineRule="auto"/>
              <w:ind w:firstLine="380"/>
              <w:jc w:val="center"/>
              <w:rPr>
                <w:rFonts w:hint="eastAsia" w:ascii="仿宋" w:hAnsi="仿宋" w:eastAsia="仿宋" w:cs="仿宋"/>
                <w:bCs/>
                <w:color w:val="auto"/>
                <w:sz w:val="24"/>
                <w:szCs w:val="24"/>
              </w:rPr>
            </w:pPr>
            <w:r>
              <w:rPr>
                <w:rFonts w:hint="eastAsia" w:ascii="仿宋" w:hAnsi="仿宋" w:eastAsia="仿宋" w:cs="仿宋"/>
                <w:b w:val="0"/>
                <w:bCs/>
                <w:color w:val="auto"/>
                <w:sz w:val="24"/>
                <w:szCs w:val="24"/>
              </w:rPr>
              <w:t>2标段</w:t>
            </w:r>
          </w:p>
        </w:tc>
        <w:tc>
          <w:tcPr>
            <w:tcW w:w="1108"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top"/>
          </w:tcPr>
          <w:p>
            <w:pPr>
              <w:pStyle w:val="17"/>
              <w:keepNext w:val="0"/>
              <w:keepLines w:val="0"/>
              <w:pageBreakBefore w:val="0"/>
              <w:kinsoku/>
              <w:wordWrap/>
              <w:overflowPunct/>
              <w:topLinePunct w:val="0"/>
              <w:autoSpaceDE/>
              <w:autoSpaceDN/>
              <w:bidi w:val="0"/>
              <w:adjustRightInd/>
              <w:snapToGrid/>
              <w:spacing w:before="105" w:after="105" w:line="288" w:lineRule="auto"/>
              <w:ind w:firstLine="380"/>
              <w:jc w:val="center"/>
              <w:rPr>
                <w:rFonts w:hint="eastAsia" w:ascii="仿宋" w:hAnsi="仿宋" w:eastAsia="仿宋" w:cs="仿宋"/>
                <w:bCs/>
                <w:color w:val="auto"/>
                <w:sz w:val="24"/>
                <w:szCs w:val="24"/>
              </w:rPr>
            </w:pPr>
            <w:r>
              <w:rPr>
                <w:rFonts w:hint="eastAsia" w:ascii="仿宋" w:hAnsi="仿宋" w:eastAsia="仿宋" w:cs="仿宋"/>
                <w:b w:val="0"/>
                <w:bCs/>
                <w:color w:val="auto"/>
                <w:sz w:val="24"/>
                <w:szCs w:val="24"/>
              </w:rPr>
              <w:t>238174</w:t>
            </w:r>
          </w:p>
        </w:tc>
        <w:tc>
          <w:tcPr>
            <w:tcW w:w="2095"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top"/>
          </w:tcPr>
          <w:p>
            <w:pPr>
              <w:pStyle w:val="17"/>
              <w:keepNext w:val="0"/>
              <w:keepLines w:val="0"/>
              <w:pageBreakBefore w:val="0"/>
              <w:kinsoku/>
              <w:wordWrap/>
              <w:overflowPunct/>
              <w:topLinePunct w:val="0"/>
              <w:autoSpaceDE/>
              <w:autoSpaceDN/>
              <w:bidi w:val="0"/>
              <w:adjustRightInd/>
              <w:snapToGrid/>
              <w:spacing w:before="105" w:after="105" w:line="288" w:lineRule="auto"/>
              <w:ind w:firstLine="380"/>
              <w:jc w:val="center"/>
              <w:rPr>
                <w:rFonts w:hint="eastAsia" w:ascii="仿宋" w:hAnsi="仿宋" w:eastAsia="仿宋" w:cs="仿宋"/>
                <w:bCs/>
                <w:color w:val="auto"/>
                <w:sz w:val="24"/>
                <w:szCs w:val="24"/>
              </w:rPr>
            </w:pPr>
            <w:r>
              <w:rPr>
                <w:rFonts w:hint="eastAsia" w:ascii="仿宋" w:hAnsi="仿宋" w:eastAsia="仿宋" w:cs="仿宋"/>
                <w:b w:val="0"/>
                <w:bCs/>
                <w:color w:val="auto"/>
                <w:sz w:val="24"/>
                <w:szCs w:val="24"/>
              </w:rPr>
              <w:t>110280</w:t>
            </w:r>
          </w:p>
        </w:tc>
        <w:tc>
          <w:tcPr>
            <w:tcW w:w="1594"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top"/>
          </w:tcPr>
          <w:p>
            <w:pPr>
              <w:pStyle w:val="17"/>
              <w:keepNext w:val="0"/>
              <w:keepLines w:val="0"/>
              <w:pageBreakBefore w:val="0"/>
              <w:kinsoku/>
              <w:wordWrap/>
              <w:overflowPunct/>
              <w:topLinePunct w:val="0"/>
              <w:autoSpaceDE/>
              <w:autoSpaceDN/>
              <w:bidi w:val="0"/>
              <w:adjustRightInd/>
              <w:snapToGrid/>
              <w:spacing w:before="105" w:after="105" w:line="288" w:lineRule="auto"/>
              <w:ind w:firstLine="380"/>
              <w:jc w:val="center"/>
              <w:rPr>
                <w:rFonts w:hint="eastAsia" w:ascii="仿宋" w:hAnsi="仿宋" w:eastAsia="仿宋" w:cs="仿宋"/>
                <w:bCs/>
                <w:color w:val="auto"/>
                <w:sz w:val="24"/>
                <w:szCs w:val="24"/>
              </w:rPr>
            </w:pPr>
            <w:r>
              <w:rPr>
                <w:rFonts w:hint="eastAsia" w:ascii="仿宋" w:hAnsi="仿宋" w:eastAsia="仿宋" w:cs="仿宋"/>
                <w:b w:val="0"/>
                <w:bCs/>
                <w:color w:val="auto"/>
                <w:sz w:val="24"/>
                <w:szCs w:val="24"/>
              </w:rPr>
              <w:t>127894</w:t>
            </w:r>
          </w:p>
        </w:tc>
        <w:tc>
          <w:tcPr>
            <w:tcW w:w="1321" w:type="dxa"/>
            <w:vMerge w:val="continue"/>
            <w:tcBorders>
              <w:top w:val="nil"/>
              <w:left w:val="nil"/>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rPr>
            </w:pPr>
          </w:p>
        </w:tc>
      </w:tr>
    </w:tbl>
    <w:p>
      <w:pPr>
        <w:pStyle w:val="17"/>
        <w:keepNext w:val="0"/>
        <w:keepLines w:val="0"/>
        <w:pageBreakBefore w:val="0"/>
        <w:widowControl/>
        <w:kinsoku/>
        <w:wordWrap/>
        <w:overflowPunct/>
        <w:topLinePunct w:val="0"/>
        <w:autoSpaceDE/>
        <w:autoSpaceDN/>
        <w:bidi w:val="0"/>
        <w:adjustRightInd/>
        <w:snapToGrid/>
        <w:spacing w:before="0" w:after="0" w:line="288"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5.报价要求 </w:t>
      </w:r>
    </w:p>
    <w:p>
      <w:pPr>
        <w:pStyle w:val="17"/>
        <w:keepNext w:val="0"/>
        <w:keepLines w:val="0"/>
        <w:pageBreakBefore w:val="0"/>
        <w:widowControl/>
        <w:kinsoku/>
        <w:wordWrap/>
        <w:overflowPunct/>
        <w:topLinePunct w:val="0"/>
        <w:autoSpaceDE/>
        <w:autoSpaceDN/>
        <w:bidi w:val="0"/>
        <w:adjustRightInd/>
        <w:snapToGrid/>
        <w:spacing w:before="0" w:after="0" w:line="288" w:lineRule="auto"/>
        <w:ind w:firstLine="48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★投标人必须在报价部分，提供下列格式的报价明细表，否则按无效投标处理。投标人所填写的原生绿地（芦苇荡）每年每平方米单价、建设绿地面积每年每平方米单价、总价。</w:t>
      </w:r>
    </w:p>
    <w:p>
      <w:pPr>
        <w:pStyle w:val="17"/>
        <w:keepNext w:val="0"/>
        <w:keepLines w:val="0"/>
        <w:pageBreakBefore w:val="0"/>
        <w:widowControl/>
        <w:kinsoku/>
        <w:wordWrap/>
        <w:overflowPunct/>
        <w:topLinePunct w:val="0"/>
        <w:autoSpaceDE/>
        <w:autoSpaceDN/>
        <w:bidi w:val="0"/>
        <w:adjustRightInd/>
        <w:snapToGrid/>
        <w:spacing w:before="0" w:after="0" w:line="288" w:lineRule="auto"/>
        <w:ind w:firstLine="48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★报价明细表</w:t>
      </w:r>
    </w:p>
    <w:tbl>
      <w:tblPr>
        <w:tblStyle w:val="6"/>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979"/>
        <w:gridCol w:w="1791"/>
        <w:gridCol w:w="1685"/>
        <w:gridCol w:w="1851"/>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7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17"/>
              <w:keepNext w:val="0"/>
              <w:keepLines w:val="0"/>
              <w:pageBreakBefore w:val="0"/>
              <w:kinsoku/>
              <w:wordWrap/>
              <w:overflowPunct/>
              <w:topLinePunct w:val="0"/>
              <w:autoSpaceDE/>
              <w:autoSpaceDN/>
              <w:bidi w:val="0"/>
              <w:adjustRightInd/>
              <w:snapToGrid/>
              <w:spacing w:line="288" w:lineRule="auto"/>
              <w:ind w:firstLine="380"/>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3476" w:type="dxa"/>
            <w:gridSpan w:val="2"/>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17"/>
              <w:keepNext w:val="0"/>
              <w:keepLines w:val="0"/>
              <w:pageBreakBefore w:val="0"/>
              <w:kinsoku/>
              <w:wordWrap/>
              <w:overflowPunct/>
              <w:topLinePunct w:val="0"/>
              <w:autoSpaceDE/>
              <w:autoSpaceDN/>
              <w:bidi w:val="0"/>
              <w:adjustRightInd/>
              <w:snapToGrid/>
              <w:spacing w:line="288" w:lineRule="auto"/>
              <w:ind w:firstLine="380"/>
              <w:jc w:val="center"/>
              <w:rPr>
                <w:rFonts w:hint="eastAsia" w:ascii="仿宋" w:hAnsi="仿宋" w:eastAsia="仿宋" w:cs="仿宋"/>
                <w:color w:val="auto"/>
                <w:sz w:val="24"/>
                <w:szCs w:val="24"/>
              </w:rPr>
            </w:pPr>
            <w:r>
              <w:rPr>
                <w:rFonts w:hint="eastAsia" w:ascii="仿宋" w:hAnsi="仿宋" w:eastAsia="仿宋" w:cs="仿宋"/>
                <w:color w:val="auto"/>
                <w:sz w:val="24"/>
                <w:szCs w:val="24"/>
              </w:rPr>
              <w:t>单价（元/㎡.年）</w:t>
            </w:r>
          </w:p>
        </w:tc>
        <w:tc>
          <w:tcPr>
            <w:tcW w:w="185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17"/>
              <w:keepNext w:val="0"/>
              <w:keepLines w:val="0"/>
              <w:pageBreakBefore w:val="0"/>
              <w:kinsoku/>
              <w:wordWrap/>
              <w:overflowPunct/>
              <w:topLinePunct w:val="0"/>
              <w:autoSpaceDE/>
              <w:autoSpaceDN/>
              <w:bidi w:val="0"/>
              <w:adjustRightInd/>
              <w:snapToGrid/>
              <w:spacing w:line="288" w:lineRule="auto"/>
              <w:ind w:firstLine="380"/>
              <w:jc w:val="center"/>
              <w:rPr>
                <w:rFonts w:hint="eastAsia" w:ascii="仿宋" w:hAnsi="仿宋" w:eastAsia="仿宋" w:cs="仿宋"/>
                <w:color w:val="auto"/>
                <w:sz w:val="24"/>
                <w:szCs w:val="24"/>
              </w:rPr>
            </w:pPr>
            <w:r>
              <w:rPr>
                <w:rFonts w:hint="eastAsia" w:ascii="仿宋" w:hAnsi="仿宋" w:eastAsia="仿宋" w:cs="仿宋"/>
                <w:color w:val="auto"/>
                <w:sz w:val="24"/>
                <w:szCs w:val="24"/>
              </w:rPr>
              <w:t>总价(元)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97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17"/>
              <w:keepNext w:val="0"/>
              <w:keepLines w:val="0"/>
              <w:pageBreakBefore w:val="0"/>
              <w:kinsoku/>
              <w:wordWrap/>
              <w:overflowPunct/>
              <w:topLinePunct w:val="0"/>
              <w:autoSpaceDE/>
              <w:autoSpaceDN/>
              <w:bidi w:val="0"/>
              <w:adjustRightInd/>
              <w:snapToGrid/>
              <w:spacing w:line="288" w:lineRule="auto"/>
              <w:ind w:firstLine="38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2027-2029</w:t>
            </w:r>
            <w:r>
              <w:rPr>
                <w:rFonts w:hint="eastAsia" w:ascii="仿宋" w:hAnsi="仿宋" w:eastAsia="仿宋" w:cs="仿宋"/>
                <w:color w:val="auto"/>
                <w:sz w:val="24"/>
                <w:szCs w:val="24"/>
              </w:rPr>
              <w:t>年乌龙江公园淮安大桥至湾边大桥段（不含沙滩公园）绿化养护服务项目</w:t>
            </w:r>
          </w:p>
        </w:tc>
        <w:tc>
          <w:tcPr>
            <w:tcW w:w="179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7"/>
              <w:keepNext w:val="0"/>
              <w:keepLines w:val="0"/>
              <w:pageBreakBefore w:val="0"/>
              <w:kinsoku/>
              <w:wordWrap/>
              <w:overflowPunct/>
              <w:topLinePunct w:val="0"/>
              <w:autoSpaceDE/>
              <w:autoSpaceDN/>
              <w:bidi w:val="0"/>
              <w:adjustRightInd/>
              <w:snapToGrid/>
              <w:spacing w:line="288" w:lineRule="auto"/>
              <w:ind w:firstLine="380"/>
              <w:jc w:val="center"/>
              <w:rPr>
                <w:rFonts w:hint="eastAsia" w:ascii="仿宋" w:hAnsi="仿宋" w:eastAsia="仿宋" w:cs="仿宋"/>
                <w:color w:val="auto"/>
                <w:sz w:val="24"/>
                <w:szCs w:val="24"/>
              </w:rPr>
            </w:pPr>
            <w:r>
              <w:rPr>
                <w:rFonts w:hint="eastAsia" w:ascii="仿宋" w:hAnsi="仿宋" w:eastAsia="仿宋" w:cs="仿宋"/>
                <w:color w:val="auto"/>
                <w:sz w:val="24"/>
                <w:szCs w:val="24"/>
              </w:rPr>
              <w:t>绿地（芦苇荡）</w:t>
            </w:r>
          </w:p>
          <w:p>
            <w:pPr>
              <w:pStyle w:val="17"/>
              <w:keepNext w:val="0"/>
              <w:keepLines w:val="0"/>
              <w:pageBreakBefore w:val="0"/>
              <w:kinsoku/>
              <w:wordWrap/>
              <w:overflowPunct/>
              <w:topLinePunct w:val="0"/>
              <w:autoSpaceDE/>
              <w:autoSpaceDN/>
              <w:bidi w:val="0"/>
              <w:adjustRightInd/>
              <w:snapToGrid/>
              <w:spacing w:line="288" w:lineRule="auto"/>
              <w:ind w:firstLine="380"/>
              <w:jc w:val="center"/>
              <w:rPr>
                <w:rFonts w:hint="eastAsia" w:ascii="仿宋" w:hAnsi="仿宋" w:eastAsia="仿宋" w:cs="仿宋"/>
                <w:color w:val="auto"/>
                <w:sz w:val="24"/>
                <w:szCs w:val="24"/>
              </w:rPr>
            </w:pPr>
            <w:r>
              <w:rPr>
                <w:rFonts w:hint="eastAsia" w:ascii="仿宋" w:hAnsi="仿宋" w:eastAsia="仿宋" w:cs="仿宋"/>
                <w:color w:val="auto"/>
                <w:sz w:val="24"/>
                <w:szCs w:val="24"/>
              </w:rPr>
              <w:t>（元/㎡.年）</w:t>
            </w:r>
          </w:p>
        </w:tc>
        <w:tc>
          <w:tcPr>
            <w:tcW w:w="1685"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17"/>
              <w:keepNext w:val="0"/>
              <w:keepLines w:val="0"/>
              <w:pageBreakBefore w:val="0"/>
              <w:kinsoku/>
              <w:wordWrap/>
              <w:overflowPunct/>
              <w:topLinePunct w:val="0"/>
              <w:autoSpaceDE/>
              <w:autoSpaceDN/>
              <w:bidi w:val="0"/>
              <w:adjustRightInd/>
              <w:snapToGrid/>
              <w:spacing w:line="288" w:lineRule="auto"/>
              <w:ind w:firstLine="380"/>
              <w:jc w:val="center"/>
              <w:rPr>
                <w:rFonts w:hint="eastAsia" w:ascii="仿宋" w:hAnsi="仿宋" w:eastAsia="仿宋" w:cs="仿宋"/>
                <w:color w:val="auto"/>
                <w:sz w:val="24"/>
                <w:szCs w:val="24"/>
              </w:rPr>
            </w:pPr>
            <w:r>
              <w:rPr>
                <w:rFonts w:hint="eastAsia" w:ascii="仿宋" w:hAnsi="仿宋" w:eastAsia="仿宋" w:cs="仿宋"/>
                <w:color w:val="auto"/>
                <w:sz w:val="24"/>
                <w:szCs w:val="24"/>
              </w:rPr>
              <w:t>建设绿地</w:t>
            </w:r>
          </w:p>
          <w:p>
            <w:pPr>
              <w:pStyle w:val="17"/>
              <w:keepNext w:val="0"/>
              <w:keepLines w:val="0"/>
              <w:pageBreakBefore w:val="0"/>
              <w:kinsoku/>
              <w:wordWrap/>
              <w:overflowPunct/>
              <w:topLinePunct w:val="0"/>
              <w:autoSpaceDE/>
              <w:autoSpaceDN/>
              <w:bidi w:val="0"/>
              <w:adjustRightInd/>
              <w:snapToGrid/>
              <w:spacing w:line="288" w:lineRule="auto"/>
              <w:ind w:firstLine="380"/>
              <w:jc w:val="center"/>
              <w:rPr>
                <w:rFonts w:hint="eastAsia" w:ascii="仿宋" w:hAnsi="仿宋" w:eastAsia="仿宋" w:cs="仿宋"/>
                <w:color w:val="auto"/>
                <w:sz w:val="24"/>
                <w:szCs w:val="24"/>
              </w:rPr>
            </w:pPr>
            <w:r>
              <w:rPr>
                <w:rFonts w:hint="eastAsia" w:ascii="仿宋" w:hAnsi="仿宋" w:eastAsia="仿宋" w:cs="仿宋"/>
                <w:color w:val="auto"/>
                <w:sz w:val="24"/>
                <w:szCs w:val="24"/>
              </w:rPr>
              <w:t>（元/㎡.年）</w:t>
            </w:r>
          </w:p>
        </w:tc>
        <w:tc>
          <w:tcPr>
            <w:tcW w:w="185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17"/>
              <w:keepNext w:val="0"/>
              <w:keepLines w:val="0"/>
              <w:pageBreakBefore w:val="0"/>
              <w:kinsoku/>
              <w:wordWrap/>
              <w:overflowPunct/>
              <w:topLinePunct w:val="0"/>
              <w:autoSpaceDE/>
              <w:autoSpaceDN/>
              <w:bidi w:val="0"/>
              <w:adjustRightInd/>
              <w:snapToGrid/>
              <w:spacing w:line="288" w:lineRule="auto"/>
              <w:ind w:firstLine="380"/>
              <w:jc w:val="center"/>
              <w:rPr>
                <w:rFonts w:hint="eastAsia" w:ascii="仿宋" w:hAnsi="仿宋" w:eastAsia="仿宋" w:cs="仿宋"/>
                <w:color w:val="auto"/>
                <w:sz w:val="24"/>
                <w:szCs w:val="24"/>
              </w:rPr>
            </w:pPr>
          </w:p>
        </w:tc>
      </w:tr>
    </w:tbl>
    <w:p>
      <w:pPr>
        <w:pStyle w:val="17"/>
        <w:keepNext w:val="0"/>
        <w:keepLines w:val="0"/>
        <w:pageBreakBefore w:val="0"/>
        <w:widowControl/>
        <w:kinsoku/>
        <w:wordWrap/>
        <w:overflowPunct/>
        <w:topLinePunct w:val="0"/>
        <w:autoSpaceDE/>
        <w:autoSpaceDN/>
        <w:bidi w:val="0"/>
        <w:adjustRightInd/>
        <w:snapToGrid/>
        <w:spacing w:line="288" w:lineRule="auto"/>
        <w:ind w:firstLine="482"/>
        <w:jc w:val="both"/>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投标报价应包括但不限于服务所涉及的有关项目的所有费用进行报价，包括但不限于作业人员工资(含养老保险、医疗保险、失业保险、工伤保险、生育保险、团体险或雇主责任险)、作业人员休息日和法定节假日的加班、奖金和各种津贴、补贴以及工作服装费、各项岗位培训费、行政管理费、工具配备费用、劳保费用、管理费、设备折旧费、机械车辆的维修费、机械作业费（含车辆油费、水费、工具费）、垃圾转运费、利润、税金等一切费用，采购人不再承担任何费用。投标人还需考虑到合同中可能出现的索赔和变更。</w:t>
      </w:r>
    </w:p>
    <w:p>
      <w:pPr>
        <w:pStyle w:val="17"/>
        <w:keepNext w:val="0"/>
        <w:keepLines w:val="0"/>
        <w:pageBreakBefore w:val="0"/>
        <w:kinsoku/>
        <w:wordWrap/>
        <w:overflowPunct/>
        <w:topLinePunct w:val="0"/>
        <w:autoSpaceDE/>
        <w:autoSpaceDN/>
        <w:bidi w:val="0"/>
        <w:adjustRightInd/>
        <w:snapToGrid/>
        <w:spacing w:line="288" w:lineRule="auto"/>
        <w:jc w:val="both"/>
        <w:outlineLvl w:val="2"/>
        <w:rPr>
          <w:rFonts w:hint="eastAsia" w:ascii="仿宋" w:hAnsi="仿宋" w:eastAsia="仿宋" w:cs="仿宋"/>
          <w:b/>
          <w:color w:val="auto"/>
          <w:sz w:val="24"/>
          <w:szCs w:val="24"/>
        </w:rPr>
      </w:pPr>
    </w:p>
    <w:p>
      <w:pPr>
        <w:pStyle w:val="17"/>
        <w:keepNext w:val="0"/>
        <w:keepLines w:val="0"/>
        <w:pageBreakBefore w:val="0"/>
        <w:kinsoku/>
        <w:wordWrap/>
        <w:overflowPunct/>
        <w:topLinePunct w:val="0"/>
        <w:autoSpaceDE/>
        <w:autoSpaceDN/>
        <w:bidi w:val="0"/>
        <w:adjustRightInd/>
        <w:snapToGrid/>
        <w:spacing w:line="288" w:lineRule="auto"/>
        <w:jc w:val="both"/>
        <w:outlineLvl w:val="2"/>
        <w:rPr>
          <w:rFonts w:hint="eastAsia" w:ascii="仿宋" w:hAnsi="仿宋" w:eastAsia="仿宋" w:cs="仿宋"/>
          <w:color w:val="auto"/>
          <w:sz w:val="24"/>
          <w:szCs w:val="24"/>
        </w:rPr>
      </w:pPr>
      <w:r>
        <w:rPr>
          <w:rFonts w:hint="eastAsia" w:ascii="仿宋" w:hAnsi="仿宋" w:eastAsia="仿宋" w:cs="仿宋"/>
          <w:b/>
          <w:color w:val="auto"/>
          <w:sz w:val="24"/>
          <w:szCs w:val="24"/>
        </w:rPr>
        <w:t>二、技术和服务要求（以“★”标示的内容为不允许负偏离的实质性要求）</w:t>
      </w:r>
    </w:p>
    <w:p>
      <w:pPr>
        <w:pStyle w:val="17"/>
        <w:keepNext w:val="0"/>
        <w:keepLines w:val="0"/>
        <w:pageBreakBefore w:val="0"/>
        <w:widowControl/>
        <w:kinsoku/>
        <w:wordWrap/>
        <w:overflowPunct/>
        <w:topLinePunct w:val="0"/>
        <w:autoSpaceDE/>
        <w:autoSpaceDN/>
        <w:bidi w:val="0"/>
        <w:adjustRightInd/>
        <w:snapToGrid/>
        <w:spacing w:line="288" w:lineRule="auto"/>
        <w:ind w:firstLine="480" w:firstLineChars="200"/>
        <w:jc w:val="lef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shd w:val="clear" w:fill="FFFFFF"/>
          <w:lang w:eastAsia="zh-CN"/>
        </w:rPr>
        <w:t>（</w:t>
      </w:r>
      <w:r>
        <w:rPr>
          <w:rFonts w:hint="eastAsia" w:ascii="仿宋" w:hAnsi="仿宋" w:eastAsia="仿宋" w:cs="仿宋"/>
          <w:b/>
          <w:bCs/>
          <w:color w:val="auto"/>
          <w:sz w:val="24"/>
          <w:szCs w:val="24"/>
          <w:shd w:val="clear" w:fill="FFFFFF"/>
          <w:lang w:val="en-US" w:eastAsia="zh-CN"/>
        </w:rPr>
        <w:t>一</w:t>
      </w:r>
      <w:r>
        <w:rPr>
          <w:rFonts w:hint="eastAsia" w:ascii="仿宋" w:hAnsi="仿宋" w:eastAsia="仿宋" w:cs="仿宋"/>
          <w:b/>
          <w:bCs/>
          <w:color w:val="auto"/>
          <w:sz w:val="24"/>
          <w:szCs w:val="24"/>
          <w:shd w:val="clear" w:fill="FFFFFF"/>
          <w:lang w:eastAsia="zh-CN"/>
        </w:rPr>
        <w:t>）</w:t>
      </w:r>
      <w:r>
        <w:rPr>
          <w:rFonts w:hint="eastAsia" w:ascii="仿宋" w:hAnsi="仿宋" w:eastAsia="仿宋" w:cs="仿宋"/>
          <w:b w:val="0"/>
          <w:bCs w:val="0"/>
          <w:color w:val="auto"/>
          <w:sz w:val="24"/>
          <w:szCs w:val="24"/>
          <w:shd w:val="clear" w:fill="FFFFFF"/>
        </w:rPr>
        <w:t>服务职责</w:t>
      </w:r>
    </w:p>
    <w:p>
      <w:pPr>
        <w:pStyle w:val="17"/>
        <w:keepNext w:val="0"/>
        <w:keepLines w:val="0"/>
        <w:pageBreakBefore w:val="0"/>
        <w:widowControl/>
        <w:kinsoku/>
        <w:wordWrap/>
        <w:overflowPunct/>
        <w:topLinePunct w:val="0"/>
        <w:autoSpaceDE/>
        <w:autoSpaceDN/>
        <w:bidi w:val="0"/>
        <w:adjustRightInd/>
        <w:snapToGrid/>
        <w:spacing w:before="45" w:after="45" w:line="288"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序号1：按照福州市园林中心颁布的《福州市市管公园绿化分级养护质量考核办法（试行）》</w:t>
      </w: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rPr>
        <w:t>级养护质量标准、《福州市乌龙江公园</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不含沙滩公园</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绿化养护质量标准及评分细则》中的养护质量标准执行，中标人应遵守公园管理规定，服从采购人管理。养护期限内，中标人应为本项目设立一名项目负责人专门管理本项目，中标人应按照绿化养护操作规程及绿化养护质量标准，制定合理的养护方案，合理组织，精心养护，保质保量完成养护管理任务。在招标文件发布后及合同实施过程中，若福州市园林中心发布新的绿化养护相关标准，从其规定。</w:t>
      </w:r>
    </w:p>
    <w:p>
      <w:pPr>
        <w:pStyle w:val="17"/>
        <w:keepNext w:val="0"/>
        <w:keepLines w:val="0"/>
        <w:pageBreakBefore w:val="0"/>
        <w:widowControl/>
        <w:kinsoku/>
        <w:wordWrap/>
        <w:overflowPunct/>
        <w:topLinePunct w:val="0"/>
        <w:autoSpaceDE/>
        <w:autoSpaceDN/>
        <w:bidi w:val="0"/>
        <w:adjustRightInd/>
        <w:snapToGrid/>
        <w:spacing w:line="288"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序号2：中标人</w:t>
      </w:r>
      <w:r>
        <w:rPr>
          <w:rFonts w:hint="eastAsia" w:ascii="仿宋" w:hAnsi="仿宋" w:eastAsia="仿宋" w:cs="仿宋"/>
          <w:color w:val="auto"/>
          <w:sz w:val="24"/>
          <w:szCs w:val="24"/>
          <w:shd w:val="clear" w:fill="FFFFFF"/>
        </w:rPr>
        <w:t>每月</w:t>
      </w:r>
      <w:r>
        <w:rPr>
          <w:rFonts w:hint="eastAsia" w:ascii="仿宋" w:hAnsi="仿宋" w:eastAsia="仿宋" w:cs="仿宋"/>
          <w:color w:val="auto"/>
          <w:sz w:val="24"/>
          <w:szCs w:val="24"/>
          <w:shd w:val="clear" w:fill="FFFFFF"/>
          <w:lang w:val="en-US" w:eastAsia="zh-CN"/>
        </w:rPr>
        <w:t>申请养护费进度款时</w:t>
      </w:r>
      <w:r>
        <w:rPr>
          <w:rFonts w:hint="eastAsia" w:ascii="仿宋" w:hAnsi="仿宋" w:eastAsia="仿宋" w:cs="仿宋"/>
          <w:color w:val="auto"/>
          <w:sz w:val="24"/>
          <w:szCs w:val="24"/>
          <w:shd w:val="clear" w:fill="FFFFFF"/>
        </w:rPr>
        <w:t>应向采购人提交上一个月养护内业资料</w:t>
      </w:r>
      <w:r>
        <w:rPr>
          <w:rFonts w:hint="eastAsia" w:ascii="仿宋" w:hAnsi="仿宋" w:eastAsia="仿宋" w:cs="仿宋"/>
          <w:color w:val="auto"/>
          <w:sz w:val="24"/>
          <w:szCs w:val="24"/>
          <w:shd w:val="clear" w:fill="FFFFFF"/>
          <w:lang w:eastAsia="zh-CN"/>
        </w:rPr>
        <w:t>、</w:t>
      </w:r>
      <w:r>
        <w:rPr>
          <w:rFonts w:hint="eastAsia" w:ascii="仿宋" w:hAnsi="仿宋" w:eastAsia="仿宋" w:cs="仿宋"/>
          <w:color w:val="auto"/>
          <w:sz w:val="24"/>
          <w:szCs w:val="24"/>
          <w:shd w:val="clear" w:fill="FFFFFF"/>
        </w:rPr>
        <w:t>下个月养护管理计划及有关措施。</w:t>
      </w:r>
    </w:p>
    <w:p>
      <w:pPr>
        <w:pStyle w:val="17"/>
        <w:keepNext w:val="0"/>
        <w:keepLines w:val="0"/>
        <w:pageBreakBefore w:val="0"/>
        <w:widowControl/>
        <w:kinsoku/>
        <w:wordWrap/>
        <w:overflowPunct/>
        <w:topLinePunct w:val="0"/>
        <w:autoSpaceDE/>
        <w:autoSpaceDN/>
        <w:bidi w:val="0"/>
        <w:adjustRightInd/>
        <w:snapToGrid/>
        <w:spacing w:line="288" w:lineRule="auto"/>
        <w:ind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rPr>
        <w:t>）绿化养护作业内容</w:t>
      </w:r>
    </w:p>
    <w:tbl>
      <w:tblPr>
        <w:tblStyle w:val="6"/>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33"/>
        <w:gridCol w:w="739"/>
        <w:gridCol w:w="1809"/>
        <w:gridCol w:w="2201"/>
        <w:gridCol w:w="292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3" w:type="dxa"/>
            <w:tcBorders>
              <w:top w:val="single" w:color="000000" w:sz="4" w:space="0"/>
              <w:left w:val="single" w:color="000000" w:sz="4" w:space="0"/>
              <w:bottom w:val="single" w:color="000000" w:sz="4" w:space="0"/>
              <w:right w:val="single" w:color="000000" w:sz="4" w:space="0"/>
            </w:tcBorders>
            <w:tcMar>
              <w:top w:w="0" w:type="dxa"/>
              <w:left w:w="60" w:type="dxa"/>
              <w:bottom w:w="0" w:type="dxa"/>
              <w:right w:w="60" w:type="dxa"/>
            </w:tcMar>
            <w:vAlign w:val="top"/>
          </w:tcPr>
          <w:p>
            <w:pPr>
              <w:pStyle w:val="17"/>
              <w:keepNext w:val="0"/>
              <w:keepLines w:val="0"/>
              <w:pageBreakBefore w:val="0"/>
              <w:kinsoku/>
              <w:wordWrap/>
              <w:overflowPunct/>
              <w:topLinePunct w:val="0"/>
              <w:autoSpaceDE/>
              <w:autoSpaceDN/>
              <w:bidi w:val="0"/>
              <w:adjustRightInd/>
              <w:snapToGrid/>
              <w:spacing w:line="288"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739" w:type="dxa"/>
            <w:tcBorders>
              <w:top w:val="single" w:color="000000" w:sz="4" w:space="0"/>
              <w:left w:val="nil"/>
              <w:bottom w:val="single" w:color="000000" w:sz="4" w:space="0"/>
              <w:right w:val="single" w:color="000000" w:sz="4" w:space="0"/>
            </w:tcBorders>
            <w:tcMar>
              <w:top w:w="0" w:type="dxa"/>
              <w:left w:w="60" w:type="dxa"/>
              <w:bottom w:w="0" w:type="dxa"/>
              <w:right w:w="60" w:type="dxa"/>
            </w:tcMar>
            <w:vAlign w:val="top"/>
          </w:tcPr>
          <w:p>
            <w:pPr>
              <w:pStyle w:val="17"/>
              <w:keepNext w:val="0"/>
              <w:keepLines w:val="0"/>
              <w:pageBreakBefore w:val="0"/>
              <w:kinsoku/>
              <w:wordWrap/>
              <w:overflowPunct/>
              <w:topLinePunct w:val="0"/>
              <w:autoSpaceDE/>
              <w:autoSpaceDN/>
              <w:bidi w:val="0"/>
              <w:adjustRightInd/>
              <w:snapToGrid/>
              <w:spacing w:line="288"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作业分类</w:t>
            </w:r>
          </w:p>
        </w:tc>
        <w:tc>
          <w:tcPr>
            <w:tcW w:w="1809" w:type="dxa"/>
            <w:tcBorders>
              <w:top w:val="single" w:color="000000" w:sz="4" w:space="0"/>
              <w:left w:val="nil"/>
              <w:bottom w:val="single" w:color="000000" w:sz="4" w:space="0"/>
              <w:right w:val="single" w:color="000000" w:sz="4" w:space="0"/>
            </w:tcBorders>
            <w:tcMar>
              <w:top w:w="0" w:type="dxa"/>
              <w:left w:w="60" w:type="dxa"/>
              <w:bottom w:w="0" w:type="dxa"/>
              <w:right w:w="60" w:type="dxa"/>
            </w:tcMar>
            <w:vAlign w:val="top"/>
          </w:tcPr>
          <w:p>
            <w:pPr>
              <w:pStyle w:val="17"/>
              <w:keepNext w:val="0"/>
              <w:keepLines w:val="0"/>
              <w:pageBreakBefore w:val="0"/>
              <w:kinsoku/>
              <w:wordWrap/>
              <w:overflowPunct/>
              <w:topLinePunct w:val="0"/>
              <w:autoSpaceDE/>
              <w:autoSpaceDN/>
              <w:bidi w:val="0"/>
              <w:adjustRightInd/>
              <w:snapToGrid/>
              <w:spacing w:line="288"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作业内容</w:t>
            </w:r>
          </w:p>
        </w:tc>
        <w:tc>
          <w:tcPr>
            <w:tcW w:w="2201" w:type="dxa"/>
            <w:tcBorders>
              <w:top w:val="single" w:color="000000" w:sz="4" w:space="0"/>
              <w:left w:val="nil"/>
              <w:bottom w:val="single" w:color="000000" w:sz="4" w:space="0"/>
              <w:right w:val="single" w:color="000000" w:sz="4" w:space="0"/>
            </w:tcBorders>
            <w:tcMar>
              <w:top w:w="0" w:type="dxa"/>
              <w:left w:w="60" w:type="dxa"/>
              <w:bottom w:w="0" w:type="dxa"/>
              <w:right w:w="60" w:type="dxa"/>
            </w:tcMar>
            <w:vAlign w:val="top"/>
          </w:tcPr>
          <w:p>
            <w:pPr>
              <w:pStyle w:val="17"/>
              <w:keepNext w:val="0"/>
              <w:keepLines w:val="0"/>
              <w:pageBreakBefore w:val="0"/>
              <w:kinsoku/>
              <w:wordWrap/>
              <w:overflowPunct/>
              <w:topLinePunct w:val="0"/>
              <w:autoSpaceDE/>
              <w:autoSpaceDN/>
              <w:bidi w:val="0"/>
              <w:adjustRightInd/>
              <w:snapToGrid/>
              <w:spacing w:line="288"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养护标准</w:t>
            </w:r>
          </w:p>
        </w:tc>
        <w:tc>
          <w:tcPr>
            <w:tcW w:w="2924" w:type="dxa"/>
            <w:tcBorders>
              <w:top w:val="single" w:color="000000" w:sz="4" w:space="0"/>
              <w:left w:val="nil"/>
              <w:bottom w:val="single" w:color="000000" w:sz="4" w:space="0"/>
              <w:right w:val="single" w:color="000000" w:sz="4" w:space="0"/>
            </w:tcBorders>
            <w:tcMar>
              <w:top w:w="0" w:type="dxa"/>
              <w:left w:w="60" w:type="dxa"/>
              <w:bottom w:w="0" w:type="dxa"/>
              <w:right w:w="60" w:type="dxa"/>
            </w:tcMar>
            <w:vAlign w:val="top"/>
          </w:tcPr>
          <w:p>
            <w:pPr>
              <w:pStyle w:val="17"/>
              <w:keepNext w:val="0"/>
              <w:keepLines w:val="0"/>
              <w:pageBreakBefore w:val="0"/>
              <w:kinsoku/>
              <w:wordWrap/>
              <w:overflowPunct/>
              <w:topLinePunct w:val="0"/>
              <w:autoSpaceDE/>
              <w:autoSpaceDN/>
              <w:bidi w:val="0"/>
              <w:adjustRightInd/>
              <w:snapToGrid/>
              <w:spacing w:line="288"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3" w:type="dxa"/>
            <w:vMerge w:val="restart"/>
            <w:tcBorders>
              <w:top w:val="nil"/>
              <w:left w:val="single" w:color="000000" w:sz="4" w:space="0"/>
              <w:bottom w:val="single" w:color="000000" w:sz="4" w:space="0"/>
              <w:right w:val="single" w:color="000000" w:sz="4" w:space="0"/>
            </w:tcBorders>
            <w:tcMar>
              <w:top w:w="0" w:type="dxa"/>
              <w:left w:w="60" w:type="dxa"/>
              <w:bottom w:w="0" w:type="dxa"/>
              <w:right w:w="60" w:type="dxa"/>
            </w:tcMar>
            <w:vAlign w:val="top"/>
          </w:tcPr>
          <w:p>
            <w:pPr>
              <w:pStyle w:val="17"/>
              <w:keepNext w:val="0"/>
              <w:keepLines w:val="0"/>
              <w:pageBreakBefore w:val="0"/>
              <w:kinsoku/>
              <w:wordWrap/>
              <w:overflowPunct/>
              <w:topLinePunct w:val="0"/>
              <w:autoSpaceDE/>
              <w:autoSpaceDN/>
              <w:bidi w:val="0"/>
              <w:adjustRightInd/>
              <w:snapToGrid/>
              <w:spacing w:line="288"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739" w:type="dxa"/>
            <w:vMerge w:val="restart"/>
            <w:tcBorders>
              <w:top w:val="nil"/>
              <w:left w:val="nil"/>
              <w:bottom w:val="single" w:color="000000" w:sz="4" w:space="0"/>
              <w:right w:val="single" w:color="000000" w:sz="4" w:space="0"/>
            </w:tcBorders>
            <w:tcMar>
              <w:top w:w="0" w:type="dxa"/>
              <w:left w:w="60" w:type="dxa"/>
              <w:bottom w:w="0" w:type="dxa"/>
              <w:right w:w="60" w:type="dxa"/>
            </w:tcMar>
            <w:vAlign w:val="top"/>
          </w:tcPr>
          <w:p>
            <w:pPr>
              <w:pStyle w:val="17"/>
              <w:keepNext w:val="0"/>
              <w:keepLines w:val="0"/>
              <w:pageBreakBefore w:val="0"/>
              <w:kinsoku/>
              <w:wordWrap/>
              <w:overflowPunct/>
              <w:topLinePunct w:val="0"/>
              <w:autoSpaceDE/>
              <w:autoSpaceDN/>
              <w:bidi w:val="0"/>
              <w:adjustRightInd/>
              <w:snapToGrid/>
              <w:spacing w:line="288"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日常绿化养护</w:t>
            </w:r>
          </w:p>
        </w:tc>
        <w:tc>
          <w:tcPr>
            <w:tcW w:w="1809"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17"/>
              <w:keepNext w:val="0"/>
              <w:keepLines w:val="0"/>
              <w:pageBreakBefore w:val="0"/>
              <w:kinsoku/>
              <w:wordWrap/>
              <w:overflowPunct/>
              <w:topLinePunct w:val="0"/>
              <w:autoSpaceDE/>
              <w:autoSpaceDN/>
              <w:bidi w:val="0"/>
              <w:adjustRightInd/>
              <w:snapToGrid/>
              <w:spacing w:line="288"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浇水</w:t>
            </w:r>
          </w:p>
        </w:tc>
        <w:tc>
          <w:tcPr>
            <w:tcW w:w="2201" w:type="dxa"/>
            <w:vMerge w:val="restart"/>
            <w:tcBorders>
              <w:top w:val="nil"/>
              <w:left w:val="nil"/>
              <w:right w:val="single" w:color="000000" w:sz="4" w:space="0"/>
            </w:tcBorders>
            <w:tcMar>
              <w:top w:w="0" w:type="dxa"/>
              <w:left w:w="60" w:type="dxa"/>
              <w:bottom w:w="0" w:type="dxa"/>
              <w:right w:w="60" w:type="dxa"/>
            </w:tcMar>
            <w:vAlign w:val="top"/>
          </w:tcPr>
          <w:p>
            <w:pPr>
              <w:pStyle w:val="17"/>
              <w:keepNext w:val="0"/>
              <w:keepLines w:val="0"/>
              <w:pageBreakBefore w:val="0"/>
              <w:kinsoku/>
              <w:wordWrap/>
              <w:overflowPunct/>
              <w:topLinePunct w:val="0"/>
              <w:autoSpaceDE/>
              <w:autoSpaceDN/>
              <w:bidi w:val="0"/>
              <w:adjustRightInd/>
              <w:snapToGrid/>
              <w:spacing w:line="288" w:lineRule="auto"/>
              <w:jc w:val="center"/>
              <w:rPr>
                <w:rFonts w:hint="eastAsia" w:ascii="仿宋" w:hAnsi="仿宋" w:eastAsia="仿宋" w:cs="仿宋"/>
                <w:color w:val="auto"/>
                <w:sz w:val="24"/>
                <w:szCs w:val="24"/>
              </w:rPr>
            </w:pPr>
            <w:r>
              <w:rPr>
                <w:rFonts w:hint="eastAsia" w:ascii="仿宋" w:hAnsi="仿宋" w:eastAsia="仿宋" w:cs="仿宋"/>
                <w:b/>
                <w:bCs/>
                <w:color w:val="auto"/>
                <w:sz w:val="24"/>
                <w:szCs w:val="24"/>
                <w:shd w:val="clear" w:fill="FFFFFF"/>
              </w:rPr>
              <w:t>《</w:t>
            </w:r>
            <w:r>
              <w:rPr>
                <w:rFonts w:hint="eastAsia" w:ascii="仿宋" w:hAnsi="仿宋" w:eastAsia="仿宋" w:cs="仿宋"/>
                <w:b/>
                <w:bCs/>
                <w:color w:val="auto"/>
                <w:sz w:val="24"/>
                <w:szCs w:val="24"/>
              </w:rPr>
              <w:t>福州市市管公园绿化分级养护质量考核办法（试行）</w:t>
            </w:r>
            <w:r>
              <w:rPr>
                <w:rFonts w:hint="eastAsia" w:ascii="仿宋" w:hAnsi="仿宋" w:eastAsia="仿宋" w:cs="仿宋"/>
                <w:b/>
                <w:bCs/>
                <w:color w:val="auto"/>
                <w:sz w:val="24"/>
                <w:szCs w:val="24"/>
                <w:shd w:val="clear" w:fill="FFFFFF"/>
              </w:rPr>
              <w:t>》</w:t>
            </w:r>
            <w:r>
              <w:rPr>
                <w:rFonts w:hint="eastAsia" w:ascii="仿宋" w:hAnsi="仿宋" w:eastAsia="仿宋" w:cs="仿宋"/>
                <w:b/>
                <w:bCs/>
                <w:color w:val="auto"/>
                <w:sz w:val="24"/>
                <w:szCs w:val="24"/>
                <w:lang w:val="en-US" w:eastAsia="zh-CN"/>
              </w:rPr>
              <w:t>二</w:t>
            </w:r>
            <w:r>
              <w:rPr>
                <w:rFonts w:hint="eastAsia" w:ascii="仿宋" w:hAnsi="仿宋" w:eastAsia="仿宋" w:cs="仿宋"/>
                <w:b/>
                <w:bCs/>
                <w:color w:val="auto"/>
                <w:sz w:val="24"/>
                <w:szCs w:val="24"/>
              </w:rPr>
              <w:t>级养护质量标准</w:t>
            </w:r>
            <w:r>
              <w:rPr>
                <w:rFonts w:hint="eastAsia" w:ascii="仿宋" w:hAnsi="仿宋" w:eastAsia="仿宋" w:cs="仿宋"/>
                <w:b/>
                <w:bCs/>
                <w:color w:val="auto"/>
                <w:sz w:val="24"/>
                <w:szCs w:val="24"/>
                <w:shd w:val="clear" w:fill="FFFFFF"/>
              </w:rPr>
              <w:t>、《</w:t>
            </w:r>
            <w:r>
              <w:rPr>
                <w:rFonts w:hint="eastAsia" w:ascii="仿宋" w:hAnsi="仿宋" w:eastAsia="仿宋" w:cs="仿宋"/>
                <w:b/>
                <w:bCs/>
                <w:color w:val="auto"/>
                <w:sz w:val="24"/>
                <w:szCs w:val="24"/>
              </w:rPr>
              <w:t>福州市乌龙江公园</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不含沙滩公园</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绿化养护质量标准及评分细则</w:t>
            </w:r>
            <w:r>
              <w:rPr>
                <w:rFonts w:hint="eastAsia" w:ascii="仿宋" w:hAnsi="仿宋" w:eastAsia="仿宋" w:cs="仿宋"/>
                <w:b/>
                <w:bCs/>
                <w:color w:val="auto"/>
                <w:sz w:val="24"/>
                <w:szCs w:val="24"/>
                <w:shd w:val="clear" w:fill="FFFFFF"/>
              </w:rPr>
              <w:t>》</w:t>
            </w:r>
          </w:p>
          <w:p>
            <w:pPr>
              <w:pStyle w:val="17"/>
              <w:keepNext w:val="0"/>
              <w:keepLines w:val="0"/>
              <w:pageBreakBefore w:val="0"/>
              <w:kinsoku/>
              <w:wordWrap/>
              <w:overflowPunct/>
              <w:topLinePunct w:val="0"/>
              <w:autoSpaceDE/>
              <w:autoSpaceDN/>
              <w:bidi w:val="0"/>
              <w:adjustRightInd/>
              <w:snapToGrid/>
              <w:spacing w:line="288" w:lineRule="auto"/>
              <w:ind w:firstLine="380"/>
              <w:jc w:val="center"/>
              <w:rPr>
                <w:rFonts w:hint="eastAsia" w:ascii="仿宋" w:hAnsi="仿宋" w:eastAsia="仿宋" w:cs="仿宋"/>
                <w:color w:val="auto"/>
                <w:sz w:val="24"/>
                <w:szCs w:val="24"/>
              </w:rPr>
            </w:pPr>
          </w:p>
          <w:p>
            <w:pPr>
              <w:pStyle w:val="17"/>
              <w:keepNext w:val="0"/>
              <w:keepLines w:val="0"/>
              <w:pageBreakBefore w:val="0"/>
              <w:kinsoku/>
              <w:wordWrap/>
              <w:overflowPunct/>
              <w:topLinePunct w:val="0"/>
              <w:autoSpaceDE/>
              <w:autoSpaceDN/>
              <w:bidi w:val="0"/>
              <w:adjustRightInd/>
              <w:snapToGrid/>
              <w:spacing w:line="288" w:lineRule="auto"/>
              <w:jc w:val="center"/>
              <w:rPr>
                <w:rFonts w:hint="eastAsia" w:ascii="仿宋" w:hAnsi="仿宋" w:eastAsia="仿宋" w:cs="仿宋"/>
                <w:color w:val="auto"/>
                <w:sz w:val="24"/>
                <w:szCs w:val="24"/>
              </w:rPr>
            </w:pPr>
          </w:p>
          <w:p>
            <w:pPr>
              <w:pStyle w:val="17"/>
              <w:keepNext w:val="0"/>
              <w:keepLines w:val="0"/>
              <w:pageBreakBefore w:val="0"/>
              <w:kinsoku/>
              <w:wordWrap/>
              <w:overflowPunct/>
              <w:topLinePunct w:val="0"/>
              <w:autoSpaceDE/>
              <w:autoSpaceDN/>
              <w:bidi w:val="0"/>
              <w:adjustRightInd/>
              <w:snapToGrid/>
              <w:spacing w:line="288" w:lineRule="auto"/>
              <w:jc w:val="center"/>
              <w:rPr>
                <w:rFonts w:hint="eastAsia" w:ascii="仿宋" w:hAnsi="仿宋" w:eastAsia="仿宋" w:cs="仿宋"/>
                <w:color w:val="auto"/>
                <w:sz w:val="24"/>
                <w:szCs w:val="24"/>
              </w:rPr>
            </w:pPr>
          </w:p>
        </w:tc>
        <w:tc>
          <w:tcPr>
            <w:tcW w:w="2924" w:type="dxa"/>
            <w:vMerge w:val="restart"/>
            <w:tcBorders>
              <w:top w:val="nil"/>
              <w:left w:val="nil"/>
              <w:bottom w:val="outset" w:color="000000" w:sz="4" w:space="0"/>
              <w:right w:val="single" w:color="000000" w:sz="4" w:space="0"/>
            </w:tcBorders>
            <w:tcMar>
              <w:top w:w="0" w:type="dxa"/>
              <w:left w:w="60" w:type="dxa"/>
              <w:bottom w:w="0" w:type="dxa"/>
              <w:right w:w="60" w:type="dxa"/>
            </w:tcMar>
            <w:vAlign w:val="top"/>
          </w:tcPr>
          <w:p>
            <w:pPr>
              <w:pStyle w:val="17"/>
              <w:keepNext w:val="0"/>
              <w:keepLines w:val="0"/>
              <w:pageBreakBefore w:val="0"/>
              <w:kinsoku/>
              <w:wordWrap/>
              <w:overflowPunct/>
              <w:topLinePunct w:val="0"/>
              <w:autoSpaceDE/>
              <w:autoSpaceDN/>
              <w:bidi w:val="0"/>
              <w:adjustRightInd/>
              <w:snapToGrid/>
              <w:spacing w:line="288"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合同范围内</w:t>
            </w:r>
          </w:p>
          <w:p>
            <w:pPr>
              <w:pStyle w:val="17"/>
              <w:keepNext w:val="0"/>
              <w:keepLines w:val="0"/>
              <w:pageBreakBefore w:val="0"/>
              <w:kinsoku/>
              <w:wordWrap/>
              <w:overflowPunct/>
              <w:topLinePunct w:val="0"/>
              <w:autoSpaceDE/>
              <w:autoSpaceDN/>
              <w:bidi w:val="0"/>
              <w:adjustRightInd/>
              <w:snapToGrid/>
              <w:spacing w:line="288" w:lineRule="auto"/>
              <w:ind w:firstLine="380"/>
              <w:jc w:val="center"/>
              <w:rPr>
                <w:rFonts w:hint="eastAsia" w:ascii="仿宋" w:hAnsi="仿宋" w:eastAsia="仿宋" w:cs="仿宋"/>
                <w:color w:val="auto"/>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3" w:type="dxa"/>
            <w:vMerge w:val="continue"/>
            <w:tcBorders>
              <w:top w:val="nil"/>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rPr>
            </w:pPr>
          </w:p>
        </w:tc>
        <w:tc>
          <w:tcPr>
            <w:tcW w:w="739" w:type="dxa"/>
            <w:vMerge w:val="continue"/>
            <w:tcBorders>
              <w:top w:val="nil"/>
              <w:left w:val="nil"/>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rPr>
            </w:pPr>
          </w:p>
        </w:tc>
        <w:tc>
          <w:tcPr>
            <w:tcW w:w="1809"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17"/>
              <w:keepNext w:val="0"/>
              <w:keepLines w:val="0"/>
              <w:pageBreakBefore w:val="0"/>
              <w:kinsoku/>
              <w:wordWrap/>
              <w:overflowPunct/>
              <w:topLinePunct w:val="0"/>
              <w:autoSpaceDE/>
              <w:autoSpaceDN/>
              <w:bidi w:val="0"/>
              <w:adjustRightInd/>
              <w:snapToGrid/>
              <w:spacing w:line="288"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抹芽、修剪</w:t>
            </w:r>
          </w:p>
        </w:tc>
        <w:tc>
          <w:tcPr>
            <w:tcW w:w="2201" w:type="dxa"/>
            <w:vMerge w:val="continue"/>
            <w:tcBorders>
              <w:left w:val="nil"/>
              <w:right w:val="single" w:color="000000" w:sz="4" w:space="0"/>
            </w:tcBorders>
          </w:tcPr>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rPr>
            </w:pPr>
          </w:p>
        </w:tc>
        <w:tc>
          <w:tcPr>
            <w:tcW w:w="2924" w:type="dxa"/>
            <w:vMerge w:val="continue"/>
            <w:tcBorders>
              <w:top w:val="nil"/>
              <w:left w:val="nil"/>
              <w:bottom w:val="outset"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3" w:type="dxa"/>
            <w:vMerge w:val="continue"/>
            <w:tcBorders>
              <w:top w:val="nil"/>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rPr>
            </w:pPr>
          </w:p>
        </w:tc>
        <w:tc>
          <w:tcPr>
            <w:tcW w:w="739" w:type="dxa"/>
            <w:vMerge w:val="continue"/>
            <w:tcBorders>
              <w:top w:val="nil"/>
              <w:left w:val="nil"/>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rPr>
            </w:pPr>
          </w:p>
        </w:tc>
        <w:tc>
          <w:tcPr>
            <w:tcW w:w="1809"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17"/>
              <w:keepNext w:val="0"/>
              <w:keepLines w:val="0"/>
              <w:pageBreakBefore w:val="0"/>
              <w:kinsoku/>
              <w:wordWrap/>
              <w:overflowPunct/>
              <w:topLinePunct w:val="0"/>
              <w:autoSpaceDE/>
              <w:autoSpaceDN/>
              <w:bidi w:val="0"/>
              <w:adjustRightInd/>
              <w:snapToGrid/>
              <w:spacing w:line="288"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施肥、复壮</w:t>
            </w:r>
          </w:p>
        </w:tc>
        <w:tc>
          <w:tcPr>
            <w:tcW w:w="2201" w:type="dxa"/>
            <w:vMerge w:val="continue"/>
            <w:tcBorders>
              <w:left w:val="nil"/>
              <w:right w:val="single" w:color="000000" w:sz="4" w:space="0"/>
            </w:tcBorders>
          </w:tcPr>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rPr>
            </w:pPr>
          </w:p>
        </w:tc>
        <w:tc>
          <w:tcPr>
            <w:tcW w:w="2924" w:type="dxa"/>
            <w:vMerge w:val="continue"/>
            <w:tcBorders>
              <w:top w:val="nil"/>
              <w:left w:val="nil"/>
              <w:bottom w:val="outset"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3" w:type="dxa"/>
            <w:vMerge w:val="continue"/>
            <w:tcBorders>
              <w:top w:val="nil"/>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rPr>
            </w:pPr>
          </w:p>
        </w:tc>
        <w:tc>
          <w:tcPr>
            <w:tcW w:w="739" w:type="dxa"/>
            <w:vMerge w:val="continue"/>
            <w:tcBorders>
              <w:top w:val="nil"/>
              <w:left w:val="nil"/>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rPr>
            </w:pPr>
          </w:p>
        </w:tc>
        <w:tc>
          <w:tcPr>
            <w:tcW w:w="1809"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17"/>
              <w:keepNext w:val="0"/>
              <w:keepLines w:val="0"/>
              <w:pageBreakBefore w:val="0"/>
              <w:kinsoku/>
              <w:wordWrap/>
              <w:overflowPunct/>
              <w:topLinePunct w:val="0"/>
              <w:autoSpaceDE/>
              <w:autoSpaceDN/>
              <w:bidi w:val="0"/>
              <w:adjustRightInd/>
              <w:snapToGrid/>
              <w:spacing w:line="288"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打草、除杂草</w:t>
            </w:r>
          </w:p>
        </w:tc>
        <w:tc>
          <w:tcPr>
            <w:tcW w:w="2201" w:type="dxa"/>
            <w:vMerge w:val="continue"/>
            <w:tcBorders>
              <w:left w:val="nil"/>
              <w:right w:val="single" w:color="000000" w:sz="4" w:space="0"/>
            </w:tcBorders>
          </w:tcPr>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rPr>
            </w:pPr>
          </w:p>
        </w:tc>
        <w:tc>
          <w:tcPr>
            <w:tcW w:w="2924" w:type="dxa"/>
            <w:vMerge w:val="continue"/>
            <w:tcBorders>
              <w:top w:val="nil"/>
              <w:left w:val="nil"/>
              <w:bottom w:val="outset"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3" w:type="dxa"/>
            <w:vMerge w:val="continue"/>
            <w:tcBorders>
              <w:top w:val="nil"/>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rPr>
            </w:pPr>
          </w:p>
        </w:tc>
        <w:tc>
          <w:tcPr>
            <w:tcW w:w="739" w:type="dxa"/>
            <w:vMerge w:val="continue"/>
            <w:tcBorders>
              <w:top w:val="nil"/>
              <w:left w:val="nil"/>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rPr>
            </w:pPr>
          </w:p>
        </w:tc>
        <w:tc>
          <w:tcPr>
            <w:tcW w:w="1809"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17"/>
              <w:keepNext w:val="0"/>
              <w:keepLines w:val="0"/>
              <w:pageBreakBefore w:val="0"/>
              <w:kinsoku/>
              <w:wordWrap/>
              <w:overflowPunct/>
              <w:topLinePunct w:val="0"/>
              <w:autoSpaceDE/>
              <w:autoSpaceDN/>
              <w:bidi w:val="0"/>
              <w:adjustRightInd/>
              <w:snapToGrid/>
              <w:spacing w:line="288"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病虫害防治</w:t>
            </w:r>
          </w:p>
        </w:tc>
        <w:tc>
          <w:tcPr>
            <w:tcW w:w="2201" w:type="dxa"/>
            <w:vMerge w:val="continue"/>
            <w:tcBorders>
              <w:left w:val="nil"/>
              <w:right w:val="single" w:color="000000" w:sz="4" w:space="0"/>
            </w:tcBorders>
          </w:tcPr>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rPr>
            </w:pPr>
          </w:p>
        </w:tc>
        <w:tc>
          <w:tcPr>
            <w:tcW w:w="2924" w:type="dxa"/>
            <w:vMerge w:val="continue"/>
            <w:tcBorders>
              <w:top w:val="nil"/>
              <w:left w:val="nil"/>
              <w:bottom w:val="outset"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3" w:type="dxa"/>
            <w:vMerge w:val="continue"/>
            <w:tcBorders>
              <w:top w:val="nil"/>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rPr>
            </w:pPr>
          </w:p>
        </w:tc>
        <w:tc>
          <w:tcPr>
            <w:tcW w:w="739" w:type="dxa"/>
            <w:vMerge w:val="continue"/>
            <w:tcBorders>
              <w:top w:val="nil"/>
              <w:left w:val="nil"/>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rPr>
            </w:pPr>
          </w:p>
        </w:tc>
        <w:tc>
          <w:tcPr>
            <w:tcW w:w="1809"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17"/>
              <w:keepNext w:val="0"/>
              <w:keepLines w:val="0"/>
              <w:pageBreakBefore w:val="0"/>
              <w:kinsoku/>
              <w:wordWrap/>
              <w:overflowPunct/>
              <w:topLinePunct w:val="0"/>
              <w:autoSpaceDE/>
              <w:autoSpaceDN/>
              <w:bidi w:val="0"/>
              <w:adjustRightInd/>
              <w:snapToGrid/>
              <w:spacing w:line="288"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树木扶正、防寒防风、抗旱抗涝</w:t>
            </w:r>
          </w:p>
        </w:tc>
        <w:tc>
          <w:tcPr>
            <w:tcW w:w="2201" w:type="dxa"/>
            <w:vMerge w:val="continue"/>
            <w:tcBorders>
              <w:left w:val="nil"/>
              <w:right w:val="single" w:color="000000" w:sz="4" w:space="0"/>
            </w:tcBorders>
          </w:tcPr>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rPr>
            </w:pPr>
          </w:p>
        </w:tc>
        <w:tc>
          <w:tcPr>
            <w:tcW w:w="2924" w:type="dxa"/>
            <w:vMerge w:val="continue"/>
            <w:tcBorders>
              <w:top w:val="nil"/>
              <w:left w:val="nil"/>
              <w:bottom w:val="outset"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3" w:type="dxa"/>
            <w:vMerge w:val="continue"/>
            <w:tcBorders>
              <w:top w:val="nil"/>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rPr>
            </w:pPr>
          </w:p>
        </w:tc>
        <w:tc>
          <w:tcPr>
            <w:tcW w:w="739" w:type="dxa"/>
            <w:vMerge w:val="continue"/>
            <w:tcBorders>
              <w:top w:val="nil"/>
              <w:left w:val="nil"/>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rPr>
            </w:pPr>
          </w:p>
        </w:tc>
        <w:tc>
          <w:tcPr>
            <w:tcW w:w="1809"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17"/>
              <w:keepNext w:val="0"/>
              <w:keepLines w:val="0"/>
              <w:pageBreakBefore w:val="0"/>
              <w:kinsoku/>
              <w:wordWrap/>
              <w:overflowPunct/>
              <w:topLinePunct w:val="0"/>
              <w:autoSpaceDE/>
              <w:autoSpaceDN/>
              <w:bidi w:val="0"/>
              <w:adjustRightInd/>
              <w:snapToGrid/>
              <w:spacing w:line="288"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树木支撑更换、维护</w:t>
            </w:r>
          </w:p>
        </w:tc>
        <w:tc>
          <w:tcPr>
            <w:tcW w:w="2201" w:type="dxa"/>
            <w:vMerge w:val="continue"/>
            <w:tcBorders>
              <w:left w:val="nil"/>
              <w:right w:val="single" w:color="000000" w:sz="4" w:space="0"/>
            </w:tcBorders>
          </w:tcPr>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rPr>
            </w:pPr>
          </w:p>
        </w:tc>
        <w:tc>
          <w:tcPr>
            <w:tcW w:w="2924" w:type="dxa"/>
            <w:vMerge w:val="continue"/>
            <w:tcBorders>
              <w:top w:val="nil"/>
              <w:left w:val="nil"/>
              <w:bottom w:val="outset"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3" w:type="dxa"/>
            <w:vMerge w:val="continue"/>
            <w:tcBorders>
              <w:top w:val="nil"/>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rPr>
            </w:pPr>
          </w:p>
        </w:tc>
        <w:tc>
          <w:tcPr>
            <w:tcW w:w="739" w:type="dxa"/>
            <w:vMerge w:val="continue"/>
            <w:tcBorders>
              <w:top w:val="nil"/>
              <w:left w:val="nil"/>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rPr>
            </w:pPr>
          </w:p>
        </w:tc>
        <w:tc>
          <w:tcPr>
            <w:tcW w:w="1809"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17"/>
              <w:keepNext w:val="0"/>
              <w:keepLines w:val="0"/>
              <w:pageBreakBefore w:val="0"/>
              <w:kinsoku/>
              <w:wordWrap/>
              <w:overflowPunct/>
              <w:topLinePunct w:val="0"/>
              <w:autoSpaceDE/>
              <w:autoSpaceDN/>
              <w:bidi w:val="0"/>
              <w:adjustRightInd/>
              <w:snapToGrid/>
              <w:spacing w:line="288"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切边、松土</w:t>
            </w:r>
          </w:p>
        </w:tc>
        <w:tc>
          <w:tcPr>
            <w:tcW w:w="2201" w:type="dxa"/>
            <w:vMerge w:val="continue"/>
            <w:tcBorders>
              <w:left w:val="nil"/>
              <w:right w:val="single" w:color="000000" w:sz="4" w:space="0"/>
            </w:tcBorders>
          </w:tcPr>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rPr>
            </w:pPr>
          </w:p>
        </w:tc>
        <w:tc>
          <w:tcPr>
            <w:tcW w:w="2924" w:type="dxa"/>
            <w:vMerge w:val="continue"/>
            <w:tcBorders>
              <w:top w:val="nil"/>
              <w:left w:val="nil"/>
              <w:bottom w:val="outset"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3" w:type="dxa"/>
            <w:vMerge w:val="continue"/>
            <w:tcBorders>
              <w:top w:val="nil"/>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rPr>
            </w:pPr>
          </w:p>
        </w:tc>
        <w:tc>
          <w:tcPr>
            <w:tcW w:w="739" w:type="dxa"/>
            <w:vMerge w:val="continue"/>
            <w:tcBorders>
              <w:top w:val="nil"/>
              <w:left w:val="nil"/>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rPr>
            </w:pPr>
          </w:p>
        </w:tc>
        <w:tc>
          <w:tcPr>
            <w:tcW w:w="1809" w:type="dxa"/>
            <w:tcBorders>
              <w:top w:val="nil"/>
              <w:left w:val="nil"/>
              <w:bottom w:val="single" w:color="000000" w:sz="4" w:space="0"/>
              <w:right w:val="single" w:color="000000" w:sz="4" w:space="0"/>
            </w:tcBorders>
            <w:tcMar>
              <w:top w:w="0" w:type="dxa"/>
              <w:left w:w="60" w:type="dxa"/>
              <w:bottom w:w="0" w:type="dxa"/>
              <w:right w:w="60" w:type="dxa"/>
            </w:tcMar>
            <w:vAlign w:val="top"/>
          </w:tcPr>
          <w:p>
            <w:pPr>
              <w:pStyle w:val="17"/>
              <w:keepNext w:val="0"/>
              <w:keepLines w:val="0"/>
              <w:pageBreakBefore w:val="0"/>
              <w:kinsoku/>
              <w:wordWrap/>
              <w:overflowPunct/>
              <w:topLinePunct w:val="0"/>
              <w:autoSpaceDE/>
              <w:autoSpaceDN/>
              <w:bidi w:val="0"/>
              <w:adjustRightInd/>
              <w:snapToGrid/>
              <w:spacing w:line="288"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园内绿化垃圾的收集及清运</w:t>
            </w:r>
          </w:p>
        </w:tc>
        <w:tc>
          <w:tcPr>
            <w:tcW w:w="2201" w:type="dxa"/>
            <w:vMerge w:val="continue"/>
            <w:tcBorders>
              <w:left w:val="nil"/>
              <w:right w:val="single" w:color="000000" w:sz="4" w:space="0"/>
            </w:tcBorders>
          </w:tcPr>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rPr>
            </w:pPr>
          </w:p>
        </w:tc>
        <w:tc>
          <w:tcPr>
            <w:tcW w:w="2924" w:type="dxa"/>
            <w:vMerge w:val="continue"/>
            <w:tcBorders>
              <w:top w:val="nil"/>
              <w:left w:val="nil"/>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096" w:hRule="atLeast"/>
        </w:trPr>
        <w:tc>
          <w:tcPr>
            <w:tcW w:w="63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17"/>
              <w:keepNext w:val="0"/>
              <w:keepLines w:val="0"/>
              <w:pageBreakBefore w:val="0"/>
              <w:kinsoku/>
              <w:wordWrap/>
              <w:overflowPunct/>
              <w:topLinePunct w:val="0"/>
              <w:autoSpaceDE/>
              <w:autoSpaceDN/>
              <w:bidi w:val="0"/>
              <w:adjustRightInd/>
              <w:snapToGrid/>
              <w:spacing w:line="288"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739"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17"/>
              <w:keepNext w:val="0"/>
              <w:keepLines w:val="0"/>
              <w:pageBreakBefore w:val="0"/>
              <w:kinsoku/>
              <w:wordWrap/>
              <w:overflowPunct/>
              <w:topLinePunct w:val="0"/>
              <w:autoSpaceDE/>
              <w:autoSpaceDN/>
              <w:bidi w:val="0"/>
              <w:adjustRightInd/>
              <w:snapToGrid/>
              <w:spacing w:line="288"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专项绿化养护</w:t>
            </w:r>
          </w:p>
        </w:tc>
        <w:tc>
          <w:tcPr>
            <w:tcW w:w="1809" w:type="dxa"/>
            <w:tcBorders>
              <w:top w:val="single" w:color="000000" w:sz="4" w:space="0"/>
              <w:left w:val="single" w:color="000000" w:sz="4" w:space="0"/>
              <w:bottom w:val="single" w:color="000000" w:sz="4" w:space="0"/>
              <w:right w:val="single" w:color="000000" w:sz="4" w:space="0"/>
            </w:tcBorders>
            <w:tcMar>
              <w:top w:w="0" w:type="dxa"/>
              <w:left w:w="60" w:type="dxa"/>
              <w:bottom w:w="0" w:type="dxa"/>
              <w:right w:w="60" w:type="dxa"/>
            </w:tcMar>
            <w:vAlign w:val="top"/>
          </w:tcPr>
          <w:p>
            <w:pPr>
              <w:pStyle w:val="17"/>
              <w:keepNext w:val="0"/>
              <w:keepLines w:val="0"/>
              <w:pageBreakBefore w:val="0"/>
              <w:kinsoku/>
              <w:wordWrap/>
              <w:overflowPunct/>
              <w:topLinePunct w:val="0"/>
              <w:autoSpaceDE/>
              <w:autoSpaceDN/>
              <w:bidi w:val="0"/>
              <w:adjustRightInd/>
              <w:snapToGrid/>
              <w:spacing w:line="288" w:lineRule="auto"/>
              <w:ind w:firstLine="380"/>
              <w:jc w:val="center"/>
              <w:rPr>
                <w:rFonts w:hint="eastAsia" w:ascii="仿宋" w:hAnsi="仿宋" w:eastAsia="仿宋" w:cs="仿宋"/>
                <w:color w:val="auto"/>
                <w:sz w:val="24"/>
                <w:szCs w:val="24"/>
              </w:rPr>
            </w:pPr>
            <w:r>
              <w:rPr>
                <w:rFonts w:hint="eastAsia" w:ascii="仿宋" w:hAnsi="仿宋" w:eastAsia="仿宋" w:cs="仿宋"/>
                <w:color w:val="auto"/>
                <w:sz w:val="24"/>
                <w:szCs w:val="24"/>
              </w:rPr>
              <w:t>植物移植、种植</w:t>
            </w:r>
          </w:p>
        </w:tc>
        <w:tc>
          <w:tcPr>
            <w:tcW w:w="2201" w:type="dxa"/>
            <w:vMerge w:val="continue"/>
            <w:tcBorders>
              <w:left w:val="nil"/>
              <w:right w:val="single" w:color="000000" w:sz="4" w:space="0"/>
            </w:tcBorders>
            <w:tcMar>
              <w:top w:w="15" w:type="dxa"/>
              <w:left w:w="15" w:type="dxa"/>
              <w:bottom w:w="15" w:type="dxa"/>
              <w:right w:w="15" w:type="dxa"/>
            </w:tcMar>
            <w:vAlign w:val="top"/>
          </w:tcPr>
          <w:p>
            <w:pPr>
              <w:pStyle w:val="17"/>
              <w:keepNext w:val="0"/>
              <w:keepLines w:val="0"/>
              <w:pageBreakBefore w:val="0"/>
              <w:kinsoku/>
              <w:wordWrap/>
              <w:overflowPunct/>
              <w:topLinePunct w:val="0"/>
              <w:autoSpaceDE/>
              <w:autoSpaceDN/>
              <w:bidi w:val="0"/>
              <w:adjustRightInd/>
              <w:snapToGrid/>
              <w:spacing w:line="288" w:lineRule="auto"/>
              <w:jc w:val="center"/>
              <w:rPr>
                <w:rFonts w:hint="eastAsia" w:ascii="仿宋" w:hAnsi="仿宋" w:eastAsia="仿宋" w:cs="仿宋"/>
                <w:color w:val="auto"/>
                <w:sz w:val="24"/>
                <w:szCs w:val="24"/>
              </w:rPr>
            </w:pPr>
          </w:p>
        </w:tc>
        <w:tc>
          <w:tcPr>
            <w:tcW w:w="2924" w:type="dxa"/>
            <w:tcBorders>
              <w:top w:val="single" w:color="000000" w:sz="4" w:space="0"/>
              <w:left w:val="single" w:color="000000" w:sz="4" w:space="0"/>
              <w:bottom w:val="single" w:color="000000" w:sz="4" w:space="0"/>
              <w:right w:val="single" w:color="000000" w:sz="4" w:space="0"/>
            </w:tcBorders>
            <w:tcMar>
              <w:top w:w="0" w:type="dxa"/>
              <w:left w:w="60" w:type="dxa"/>
              <w:bottom w:w="0" w:type="dxa"/>
              <w:right w:w="60" w:type="dxa"/>
            </w:tcMar>
            <w:vAlign w:val="top"/>
          </w:tcPr>
          <w:p>
            <w:pPr>
              <w:pStyle w:val="17"/>
              <w:keepNext w:val="0"/>
              <w:keepLines w:val="0"/>
              <w:pageBreakBefore w:val="0"/>
              <w:kinsoku/>
              <w:wordWrap/>
              <w:overflowPunct/>
              <w:topLinePunct w:val="0"/>
              <w:autoSpaceDE/>
              <w:autoSpaceDN/>
              <w:bidi w:val="0"/>
              <w:adjustRightInd/>
              <w:snapToGrid/>
              <w:spacing w:line="288"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公园内地被植物、草坪等需要小范围种植(每年不超过500㎡)，小乔木（胸径不超过15cm）需移植的(每年不超过200株)，应由中标人负责。超出部分采购人提供苗木由中标人安排人员进行种植、移植，完成后中标人上报签证，采购人随机选择第三方咨询单位进行审核，以审核后金额为准支付。</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948" w:hRule="atLeast"/>
        </w:trPr>
        <w:tc>
          <w:tcPr>
            <w:tcW w:w="633" w:type="dxa"/>
            <w:tcBorders>
              <w:top w:val="single" w:color="000000" w:sz="4" w:space="0"/>
              <w:left w:val="single" w:color="000000" w:sz="4" w:space="0"/>
              <w:bottom w:val="single" w:color="000000" w:sz="4" w:space="0"/>
              <w:right w:val="single" w:color="000000" w:sz="4" w:space="0"/>
            </w:tcBorders>
            <w:tcMar>
              <w:top w:w="0" w:type="dxa"/>
              <w:left w:w="60" w:type="dxa"/>
              <w:bottom w:w="0" w:type="dxa"/>
              <w:right w:w="60" w:type="dxa"/>
            </w:tcMar>
            <w:vAlign w:val="top"/>
          </w:tcPr>
          <w:p>
            <w:pPr>
              <w:pStyle w:val="17"/>
              <w:keepNext w:val="0"/>
              <w:keepLines w:val="0"/>
              <w:pageBreakBefore w:val="0"/>
              <w:kinsoku/>
              <w:wordWrap/>
              <w:overflowPunct/>
              <w:topLinePunct w:val="0"/>
              <w:autoSpaceDE/>
              <w:autoSpaceDN/>
              <w:bidi w:val="0"/>
              <w:adjustRightInd/>
              <w:snapToGrid/>
              <w:spacing w:line="288"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b/>
                <w:bCs/>
                <w:color w:val="auto"/>
                <w:sz w:val="24"/>
                <w:szCs w:val="24"/>
              </w:rPr>
              <w:t>5</w:t>
            </w:r>
          </w:p>
        </w:tc>
        <w:tc>
          <w:tcPr>
            <w:tcW w:w="739" w:type="dxa"/>
            <w:tcBorders>
              <w:top w:val="single" w:color="000000" w:sz="4" w:space="0"/>
              <w:left w:val="nil"/>
              <w:bottom w:val="single" w:color="000000" w:sz="4" w:space="0"/>
              <w:right w:val="single" w:color="000000" w:sz="4" w:space="0"/>
            </w:tcBorders>
            <w:tcMar>
              <w:top w:w="0" w:type="dxa"/>
              <w:left w:w="60" w:type="dxa"/>
              <w:bottom w:w="0" w:type="dxa"/>
              <w:right w:w="60" w:type="dxa"/>
            </w:tcMar>
            <w:vAlign w:val="top"/>
          </w:tcPr>
          <w:p>
            <w:pPr>
              <w:pStyle w:val="17"/>
              <w:keepNext w:val="0"/>
              <w:keepLines w:val="0"/>
              <w:pageBreakBefore w:val="0"/>
              <w:kinsoku/>
              <w:wordWrap/>
              <w:overflowPunct/>
              <w:topLinePunct w:val="0"/>
              <w:autoSpaceDE/>
              <w:autoSpaceDN/>
              <w:bidi w:val="0"/>
              <w:adjustRightInd/>
              <w:snapToGrid/>
              <w:spacing w:line="288" w:lineRule="auto"/>
              <w:jc w:val="center"/>
              <w:rPr>
                <w:rFonts w:hint="eastAsia" w:ascii="仿宋" w:hAnsi="仿宋" w:eastAsia="仿宋" w:cs="仿宋"/>
                <w:color w:val="auto"/>
                <w:sz w:val="24"/>
                <w:szCs w:val="24"/>
              </w:rPr>
            </w:pPr>
            <w:r>
              <w:rPr>
                <w:rFonts w:hint="eastAsia" w:ascii="仿宋" w:hAnsi="仿宋" w:eastAsia="仿宋" w:cs="仿宋"/>
                <w:b/>
                <w:bCs/>
                <w:color w:val="auto"/>
                <w:sz w:val="24"/>
                <w:szCs w:val="24"/>
              </w:rPr>
              <w:t>其他</w:t>
            </w:r>
          </w:p>
        </w:tc>
        <w:tc>
          <w:tcPr>
            <w:tcW w:w="1809" w:type="dxa"/>
            <w:tcBorders>
              <w:top w:val="single" w:color="000000" w:sz="4" w:space="0"/>
              <w:left w:val="nil"/>
              <w:bottom w:val="single" w:color="000000" w:sz="4" w:space="0"/>
              <w:right w:val="single" w:color="000000" w:sz="4" w:space="0"/>
            </w:tcBorders>
            <w:tcMar>
              <w:top w:w="0" w:type="dxa"/>
              <w:left w:w="60" w:type="dxa"/>
              <w:bottom w:w="0" w:type="dxa"/>
              <w:right w:w="60" w:type="dxa"/>
            </w:tcMar>
            <w:vAlign w:val="top"/>
          </w:tcPr>
          <w:p>
            <w:pPr>
              <w:pStyle w:val="17"/>
              <w:keepNext w:val="0"/>
              <w:keepLines w:val="0"/>
              <w:pageBreakBefore w:val="0"/>
              <w:kinsoku/>
              <w:wordWrap/>
              <w:overflowPunct/>
              <w:topLinePunct w:val="0"/>
              <w:autoSpaceDE/>
              <w:autoSpaceDN/>
              <w:bidi w:val="0"/>
              <w:adjustRightInd/>
              <w:snapToGrid/>
              <w:spacing w:line="288" w:lineRule="auto"/>
              <w:jc w:val="center"/>
              <w:rPr>
                <w:rFonts w:hint="eastAsia" w:ascii="仿宋" w:hAnsi="仿宋" w:eastAsia="仿宋" w:cs="仿宋"/>
                <w:color w:val="auto"/>
                <w:sz w:val="24"/>
                <w:szCs w:val="24"/>
              </w:rPr>
            </w:pPr>
            <w:r>
              <w:rPr>
                <w:rFonts w:hint="eastAsia" w:ascii="仿宋" w:hAnsi="仿宋" w:eastAsia="仿宋" w:cs="仿宋"/>
                <w:b/>
                <w:bCs/>
                <w:color w:val="auto"/>
                <w:sz w:val="24"/>
                <w:szCs w:val="24"/>
              </w:rPr>
              <w:t>节日摆花</w:t>
            </w:r>
          </w:p>
        </w:tc>
        <w:tc>
          <w:tcPr>
            <w:tcW w:w="2201" w:type="dxa"/>
            <w:vMerge w:val="continue"/>
            <w:tcBorders>
              <w:left w:val="nil"/>
              <w:right w:val="single" w:color="000000" w:sz="4" w:space="0"/>
            </w:tcBorders>
            <w:tcMar>
              <w:top w:w="0" w:type="dxa"/>
              <w:left w:w="60" w:type="dxa"/>
              <w:bottom w:w="0" w:type="dxa"/>
              <w:right w:w="60" w:type="dxa"/>
            </w:tcMar>
            <w:vAlign w:val="top"/>
          </w:tcPr>
          <w:p>
            <w:pPr>
              <w:pStyle w:val="17"/>
              <w:keepNext w:val="0"/>
              <w:keepLines w:val="0"/>
              <w:pageBreakBefore w:val="0"/>
              <w:kinsoku/>
              <w:wordWrap/>
              <w:overflowPunct/>
              <w:topLinePunct w:val="0"/>
              <w:autoSpaceDE/>
              <w:autoSpaceDN/>
              <w:bidi w:val="0"/>
              <w:adjustRightInd/>
              <w:snapToGrid/>
              <w:spacing w:line="288" w:lineRule="auto"/>
              <w:jc w:val="center"/>
              <w:rPr>
                <w:rFonts w:hint="eastAsia" w:ascii="仿宋" w:hAnsi="仿宋" w:eastAsia="仿宋" w:cs="仿宋"/>
                <w:color w:val="auto"/>
                <w:sz w:val="24"/>
                <w:szCs w:val="24"/>
              </w:rPr>
            </w:pPr>
          </w:p>
        </w:tc>
        <w:tc>
          <w:tcPr>
            <w:tcW w:w="2924" w:type="dxa"/>
            <w:tcBorders>
              <w:top w:val="single" w:color="000000" w:sz="4" w:space="0"/>
              <w:left w:val="nil"/>
              <w:bottom w:val="single" w:color="000000" w:sz="4" w:space="0"/>
              <w:right w:val="single" w:color="000000" w:sz="4" w:space="0"/>
            </w:tcBorders>
            <w:tcMar>
              <w:top w:w="0" w:type="dxa"/>
              <w:left w:w="60" w:type="dxa"/>
              <w:bottom w:w="0" w:type="dxa"/>
              <w:right w:w="60" w:type="dxa"/>
            </w:tcMar>
            <w:vAlign w:val="top"/>
          </w:tcPr>
          <w:p>
            <w:pPr>
              <w:pStyle w:val="17"/>
              <w:keepNext w:val="0"/>
              <w:keepLines w:val="0"/>
              <w:pageBreakBefore w:val="0"/>
              <w:kinsoku/>
              <w:wordWrap/>
              <w:overflowPunct/>
              <w:topLinePunct w:val="0"/>
              <w:autoSpaceDE/>
              <w:autoSpaceDN/>
              <w:bidi w:val="0"/>
              <w:adjustRightInd/>
              <w:snapToGrid/>
              <w:spacing w:line="288" w:lineRule="auto"/>
              <w:ind w:firstLine="380"/>
              <w:jc w:val="left"/>
              <w:rPr>
                <w:rFonts w:hint="eastAsia" w:ascii="仿宋" w:hAnsi="仿宋" w:eastAsia="仿宋" w:cs="仿宋"/>
                <w:b/>
                <w:bCs/>
                <w:color w:val="auto"/>
                <w:sz w:val="24"/>
                <w:szCs w:val="24"/>
              </w:rPr>
            </w:pPr>
            <w:r>
              <w:rPr>
                <w:rFonts w:hint="eastAsia" w:ascii="仿宋" w:hAnsi="仿宋" w:eastAsia="仿宋" w:cs="仿宋"/>
                <w:b/>
                <w:color w:val="auto"/>
                <w:sz w:val="24"/>
                <w:szCs w:val="24"/>
              </w:rPr>
              <w:t>①</w:t>
            </w:r>
            <w:r>
              <w:rPr>
                <w:rFonts w:hint="eastAsia" w:ascii="仿宋" w:hAnsi="仿宋" w:eastAsia="仿宋" w:cs="仿宋"/>
                <w:b/>
                <w:bCs/>
                <w:color w:val="auto"/>
                <w:sz w:val="24"/>
                <w:szCs w:val="24"/>
              </w:rPr>
              <w:t>园区如有节日摆花，中标人应按采购人的方案要求进行</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中标人</w:t>
            </w:r>
            <w:r>
              <w:rPr>
                <w:rFonts w:hint="eastAsia" w:ascii="仿宋" w:hAnsi="仿宋" w:eastAsia="仿宋" w:cs="仿宋"/>
                <w:b/>
                <w:bCs/>
                <w:color w:val="auto"/>
                <w:sz w:val="24"/>
                <w:szCs w:val="24"/>
                <w:shd w:val="clear" w:fill="auto"/>
              </w:rPr>
              <w:t>每年需提供莳花种植面积合计</w:t>
            </w:r>
            <w:r>
              <w:rPr>
                <w:rFonts w:hint="eastAsia" w:ascii="仿宋" w:hAnsi="仿宋" w:eastAsia="仿宋" w:cs="仿宋"/>
                <w:b/>
                <w:bCs/>
                <w:color w:val="auto"/>
                <w:sz w:val="24"/>
                <w:szCs w:val="24"/>
                <w:shd w:val="clear" w:fill="auto"/>
                <w:lang w:val="en-US" w:eastAsia="zh-CN"/>
              </w:rPr>
              <w:t>900</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shd w:val="clear" w:fill="auto"/>
                <w:lang w:eastAsia="zh-CN"/>
              </w:rPr>
              <w:t>（</w:t>
            </w:r>
            <w:r>
              <w:rPr>
                <w:rFonts w:hint="eastAsia" w:ascii="仿宋" w:hAnsi="仿宋" w:eastAsia="仿宋" w:cs="仿宋"/>
                <w:b/>
                <w:bCs/>
                <w:color w:val="auto"/>
                <w:sz w:val="24"/>
                <w:szCs w:val="24"/>
              </w:rPr>
              <w:t>费用包含在投标总价中</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超出</w:t>
            </w:r>
            <w:r>
              <w:rPr>
                <w:rFonts w:hint="eastAsia" w:ascii="仿宋" w:hAnsi="仿宋" w:eastAsia="仿宋" w:cs="仿宋"/>
                <w:b/>
                <w:bCs/>
                <w:color w:val="auto"/>
                <w:sz w:val="24"/>
                <w:szCs w:val="24"/>
                <w:shd w:val="clear" w:fill="auto"/>
                <w:lang w:val="en-US" w:eastAsia="zh-CN"/>
              </w:rPr>
              <w:t>900</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val="en-US" w:eastAsia="zh-CN"/>
              </w:rPr>
              <w:t>的</w:t>
            </w:r>
            <w:r>
              <w:rPr>
                <w:rFonts w:hint="eastAsia" w:ascii="仿宋" w:hAnsi="仿宋" w:eastAsia="仿宋" w:cs="仿宋"/>
                <w:b/>
                <w:bCs/>
                <w:color w:val="auto"/>
                <w:sz w:val="24"/>
                <w:szCs w:val="24"/>
                <w:shd w:val="clear" w:fill="auto"/>
              </w:rPr>
              <w:t>莳花</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小品制作费用由中标人上报签证，采购人随机选择第三方咨询单位进行审核，以审核后金额为准支付(相关费用不包含在本次项目费用中)。</w:t>
            </w:r>
          </w:p>
          <w:p>
            <w:pPr>
              <w:pStyle w:val="17"/>
              <w:keepNext w:val="0"/>
              <w:keepLines w:val="0"/>
              <w:pageBreakBefore w:val="0"/>
              <w:kinsoku/>
              <w:wordWrap/>
              <w:overflowPunct/>
              <w:topLinePunct w:val="0"/>
              <w:autoSpaceDE/>
              <w:autoSpaceDN/>
              <w:bidi w:val="0"/>
              <w:adjustRightInd/>
              <w:snapToGrid/>
              <w:spacing w:line="288" w:lineRule="auto"/>
              <w:ind w:firstLine="380"/>
              <w:jc w:val="left"/>
              <w:rPr>
                <w:rFonts w:hint="eastAsia" w:ascii="仿宋" w:hAnsi="仿宋" w:eastAsia="仿宋" w:cs="仿宋"/>
                <w:b/>
                <w:bCs/>
                <w:color w:val="auto"/>
                <w:sz w:val="24"/>
                <w:szCs w:val="24"/>
              </w:rPr>
            </w:pPr>
            <w:r>
              <w:rPr>
                <w:rFonts w:hint="eastAsia" w:ascii="仿宋" w:hAnsi="仿宋" w:eastAsia="仿宋" w:cs="仿宋"/>
                <w:b/>
                <w:color w:val="auto"/>
                <w:sz w:val="24"/>
                <w:szCs w:val="24"/>
              </w:rPr>
              <w:t>②</w:t>
            </w:r>
            <w:r>
              <w:rPr>
                <w:rFonts w:hint="eastAsia" w:ascii="仿宋" w:hAnsi="仿宋" w:eastAsia="仿宋" w:cs="仿宋"/>
                <w:b/>
                <w:bCs/>
                <w:color w:val="auto"/>
                <w:sz w:val="24"/>
                <w:szCs w:val="24"/>
              </w:rPr>
              <w:t>公园节日摆花养护工作由中标人负责，费用不另予计算。</w:t>
            </w:r>
          </w:p>
          <w:p>
            <w:pPr>
              <w:pStyle w:val="17"/>
              <w:keepNext w:val="0"/>
              <w:keepLines w:val="0"/>
              <w:pageBreakBefore w:val="0"/>
              <w:kinsoku/>
              <w:wordWrap/>
              <w:overflowPunct/>
              <w:topLinePunct w:val="0"/>
              <w:autoSpaceDE/>
              <w:autoSpaceDN/>
              <w:bidi w:val="0"/>
              <w:adjustRightInd/>
              <w:snapToGrid/>
              <w:spacing w:line="288" w:lineRule="auto"/>
              <w:ind w:firstLine="380"/>
              <w:jc w:val="left"/>
              <w:rPr>
                <w:rFonts w:hint="eastAsia" w:ascii="仿宋" w:hAnsi="仿宋" w:eastAsia="仿宋" w:cs="仿宋"/>
                <w:b/>
                <w:bCs/>
                <w:color w:val="auto"/>
                <w:sz w:val="24"/>
                <w:szCs w:val="24"/>
              </w:rPr>
            </w:pPr>
            <w:r>
              <w:rPr>
                <w:rFonts w:hint="eastAsia" w:ascii="仿宋" w:hAnsi="仿宋" w:eastAsia="仿宋" w:cs="仿宋"/>
                <w:b/>
                <w:color w:val="auto"/>
                <w:sz w:val="24"/>
                <w:szCs w:val="24"/>
              </w:rPr>
              <w:t>（投标时需要单独提供上述针对第①</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②点的承诺函，否则按无效投标处理）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33" w:type="dxa"/>
            <w:tcBorders>
              <w:top w:val="single" w:color="000000" w:sz="4" w:space="0"/>
              <w:left w:val="single" w:color="000000" w:sz="4" w:space="0"/>
              <w:bottom w:val="single" w:color="000000" w:sz="4" w:space="0"/>
              <w:right w:val="single" w:color="000000" w:sz="4" w:space="0"/>
            </w:tcBorders>
            <w:tcMar>
              <w:top w:w="0" w:type="dxa"/>
              <w:left w:w="60" w:type="dxa"/>
              <w:bottom w:w="0" w:type="dxa"/>
              <w:right w:w="60" w:type="dxa"/>
            </w:tcMar>
            <w:vAlign w:val="top"/>
          </w:tcPr>
          <w:p>
            <w:pPr>
              <w:pStyle w:val="17"/>
              <w:keepNext w:val="0"/>
              <w:keepLines w:val="0"/>
              <w:pageBreakBefore w:val="0"/>
              <w:kinsoku/>
              <w:wordWrap/>
              <w:overflowPunct/>
              <w:topLinePunct w:val="0"/>
              <w:autoSpaceDE/>
              <w:autoSpaceDN/>
              <w:bidi w:val="0"/>
              <w:adjustRightInd/>
              <w:snapToGrid/>
              <w:spacing w:line="288"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739" w:type="dxa"/>
            <w:tcBorders>
              <w:top w:val="single" w:color="000000" w:sz="4" w:space="0"/>
              <w:left w:val="single" w:color="000000" w:sz="4" w:space="0"/>
              <w:bottom w:val="single" w:color="000000" w:sz="4" w:space="0"/>
              <w:right w:val="single" w:color="000000" w:sz="4" w:space="0"/>
            </w:tcBorders>
            <w:tcMar>
              <w:top w:w="0" w:type="dxa"/>
              <w:left w:w="60" w:type="dxa"/>
              <w:bottom w:w="0" w:type="dxa"/>
              <w:right w:w="60" w:type="dxa"/>
            </w:tcMar>
            <w:vAlign w:val="top"/>
          </w:tcPr>
          <w:p>
            <w:pPr>
              <w:pStyle w:val="17"/>
              <w:keepNext w:val="0"/>
              <w:keepLines w:val="0"/>
              <w:pageBreakBefore w:val="0"/>
              <w:kinsoku/>
              <w:wordWrap/>
              <w:overflowPunct/>
              <w:topLinePunct w:val="0"/>
              <w:autoSpaceDE/>
              <w:autoSpaceDN/>
              <w:bidi w:val="0"/>
              <w:adjustRightInd/>
              <w:snapToGrid/>
              <w:spacing w:line="288" w:lineRule="auto"/>
              <w:ind w:firstLine="380"/>
              <w:jc w:val="center"/>
              <w:rPr>
                <w:rFonts w:hint="eastAsia" w:ascii="仿宋" w:hAnsi="仿宋" w:eastAsia="仿宋" w:cs="仿宋"/>
                <w:color w:val="auto"/>
                <w:sz w:val="24"/>
                <w:szCs w:val="24"/>
              </w:rPr>
            </w:pPr>
          </w:p>
        </w:tc>
        <w:tc>
          <w:tcPr>
            <w:tcW w:w="1809" w:type="dxa"/>
            <w:tcBorders>
              <w:top w:val="single" w:color="000000" w:sz="4" w:space="0"/>
              <w:left w:val="single" w:color="000000" w:sz="4" w:space="0"/>
              <w:bottom w:val="single" w:color="000000" w:sz="4" w:space="0"/>
              <w:right w:val="single" w:color="000000" w:sz="4" w:space="0"/>
            </w:tcBorders>
            <w:tcMar>
              <w:top w:w="0" w:type="dxa"/>
              <w:left w:w="60" w:type="dxa"/>
              <w:bottom w:w="0" w:type="dxa"/>
              <w:right w:w="60" w:type="dxa"/>
            </w:tcMar>
            <w:vAlign w:val="top"/>
          </w:tcPr>
          <w:p>
            <w:pPr>
              <w:pStyle w:val="17"/>
              <w:keepNext w:val="0"/>
              <w:keepLines w:val="0"/>
              <w:pageBreakBefore w:val="0"/>
              <w:kinsoku/>
              <w:wordWrap/>
              <w:overflowPunct/>
              <w:topLinePunct w:val="0"/>
              <w:autoSpaceDE/>
              <w:autoSpaceDN/>
              <w:bidi w:val="0"/>
              <w:adjustRightInd/>
              <w:snapToGrid/>
              <w:spacing w:line="288" w:lineRule="auto"/>
              <w:jc w:val="center"/>
              <w:rPr>
                <w:rFonts w:hint="eastAsia" w:ascii="仿宋" w:hAnsi="仿宋" w:eastAsia="仿宋" w:cs="仿宋"/>
                <w:color w:val="auto"/>
                <w:sz w:val="24"/>
                <w:szCs w:val="24"/>
              </w:rPr>
            </w:pPr>
            <w:r>
              <w:rPr>
                <w:rFonts w:hint="eastAsia" w:ascii="仿宋" w:hAnsi="仿宋" w:eastAsia="仿宋" w:cs="仿宋"/>
                <w:b/>
                <w:bCs/>
                <w:color w:val="auto"/>
                <w:sz w:val="24"/>
                <w:szCs w:val="24"/>
              </w:rPr>
              <w:t>其他任务</w:t>
            </w:r>
          </w:p>
        </w:tc>
        <w:tc>
          <w:tcPr>
            <w:tcW w:w="2201" w:type="dxa"/>
            <w:vMerge w:val="continue"/>
            <w:tcBorders>
              <w:left w:val="nil"/>
              <w:bottom w:val="single" w:color="000000" w:sz="4" w:space="0"/>
              <w:right w:val="single" w:color="000000" w:sz="4" w:space="0"/>
            </w:tcBorders>
            <w:tcMar>
              <w:top w:w="0" w:type="dxa"/>
              <w:left w:w="60" w:type="dxa"/>
              <w:bottom w:w="0" w:type="dxa"/>
              <w:right w:w="60" w:type="dxa"/>
            </w:tcMar>
            <w:vAlign w:val="top"/>
          </w:tcPr>
          <w:p>
            <w:pPr>
              <w:pStyle w:val="17"/>
              <w:keepNext w:val="0"/>
              <w:keepLines w:val="0"/>
              <w:pageBreakBefore w:val="0"/>
              <w:kinsoku/>
              <w:wordWrap/>
              <w:overflowPunct/>
              <w:topLinePunct w:val="0"/>
              <w:autoSpaceDE/>
              <w:autoSpaceDN/>
              <w:bidi w:val="0"/>
              <w:adjustRightInd/>
              <w:snapToGrid/>
              <w:spacing w:line="288" w:lineRule="auto"/>
              <w:jc w:val="center"/>
              <w:rPr>
                <w:rFonts w:hint="eastAsia" w:ascii="仿宋" w:hAnsi="仿宋" w:eastAsia="仿宋" w:cs="仿宋"/>
                <w:color w:val="auto"/>
                <w:sz w:val="24"/>
                <w:szCs w:val="24"/>
              </w:rPr>
            </w:pPr>
          </w:p>
        </w:tc>
        <w:tc>
          <w:tcPr>
            <w:tcW w:w="2924" w:type="dxa"/>
            <w:tcBorders>
              <w:top w:val="single" w:color="000000" w:sz="4" w:space="0"/>
              <w:left w:val="single" w:color="000000" w:sz="4" w:space="0"/>
              <w:bottom w:val="single" w:color="000000" w:sz="4" w:space="0"/>
              <w:right w:val="single" w:color="000000" w:sz="4" w:space="0"/>
            </w:tcBorders>
            <w:tcMar>
              <w:top w:w="0" w:type="dxa"/>
              <w:left w:w="60" w:type="dxa"/>
              <w:bottom w:w="0" w:type="dxa"/>
              <w:right w:w="60" w:type="dxa"/>
            </w:tcMar>
            <w:vAlign w:val="top"/>
          </w:tcPr>
          <w:p>
            <w:pPr>
              <w:pStyle w:val="17"/>
              <w:keepNext w:val="0"/>
              <w:keepLines w:val="0"/>
              <w:pageBreakBefore w:val="0"/>
              <w:kinsoku/>
              <w:wordWrap/>
              <w:overflowPunct/>
              <w:topLinePunct w:val="0"/>
              <w:autoSpaceDE/>
              <w:autoSpaceDN/>
              <w:bidi w:val="0"/>
              <w:adjustRightInd/>
              <w:snapToGrid/>
              <w:spacing w:line="288" w:lineRule="auto"/>
              <w:ind w:firstLine="480"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①中标人需根据采购人工作安排及需求，每年向采购人提供并种植1万粒郁金香种球，养护工作由中标人负责，所产生的费用包含在投标总价中</w:t>
            </w:r>
            <w:r>
              <w:rPr>
                <w:rFonts w:hint="eastAsia" w:ascii="仿宋" w:hAnsi="仿宋" w:eastAsia="仿宋" w:cs="仿宋"/>
                <w:b/>
                <w:bCs/>
                <w:color w:val="auto"/>
                <w:sz w:val="24"/>
                <w:szCs w:val="24"/>
                <w:shd w:val="clear" w:fill="FFFFFF"/>
              </w:rPr>
              <w:t>。</w:t>
            </w:r>
          </w:p>
          <w:p>
            <w:pPr>
              <w:pStyle w:val="17"/>
              <w:keepNext w:val="0"/>
              <w:keepLines w:val="0"/>
              <w:pageBreakBefore w:val="0"/>
              <w:kinsoku/>
              <w:wordWrap/>
              <w:overflowPunct/>
              <w:topLinePunct w:val="0"/>
              <w:autoSpaceDE/>
              <w:autoSpaceDN/>
              <w:bidi w:val="0"/>
              <w:adjustRightInd/>
              <w:snapToGrid/>
              <w:spacing w:line="288" w:lineRule="auto"/>
              <w:ind w:firstLine="480" w:firstLineChars="200"/>
              <w:rPr>
                <w:rFonts w:hint="eastAsia" w:ascii="仿宋" w:hAnsi="仿宋" w:eastAsia="仿宋" w:cs="仿宋"/>
                <w:b/>
                <w:bCs/>
                <w:color w:val="auto"/>
                <w:sz w:val="24"/>
                <w:szCs w:val="24"/>
                <w:highlight w:val="none"/>
                <w:shd w:val="clear" w:fill="FFFFFF"/>
              </w:rPr>
            </w:pPr>
            <w:r>
              <w:rPr>
                <w:rFonts w:hint="eastAsia" w:ascii="仿宋" w:hAnsi="仿宋" w:eastAsia="仿宋" w:cs="仿宋"/>
                <w:b/>
                <w:bCs/>
                <w:color w:val="auto"/>
                <w:sz w:val="24"/>
                <w:szCs w:val="24"/>
              </w:rPr>
              <w:t>②中标人需根据采购人工作安排</w:t>
            </w:r>
            <w:r>
              <w:rPr>
                <w:rFonts w:hint="eastAsia" w:ascii="仿宋" w:hAnsi="仿宋" w:eastAsia="仿宋" w:cs="仿宋"/>
                <w:b/>
                <w:bCs/>
                <w:color w:val="auto"/>
                <w:sz w:val="24"/>
                <w:szCs w:val="24"/>
                <w:highlight w:val="none"/>
              </w:rPr>
              <w:t>及需求，</w:t>
            </w:r>
            <w:r>
              <w:rPr>
                <w:rFonts w:hint="eastAsia" w:ascii="仿宋" w:hAnsi="仿宋" w:eastAsia="仿宋" w:cs="仿宋"/>
                <w:b/>
                <w:bCs/>
                <w:color w:val="auto"/>
                <w:sz w:val="24"/>
                <w:szCs w:val="24"/>
                <w:highlight w:val="none"/>
                <w:shd w:val="clear" w:fill="auto"/>
              </w:rPr>
              <w:t>每年三次草花播种，面积合计</w:t>
            </w:r>
            <w:r>
              <w:rPr>
                <w:rFonts w:hint="eastAsia" w:ascii="仿宋" w:hAnsi="仿宋" w:eastAsia="仿宋" w:cs="仿宋"/>
                <w:b/>
                <w:bCs/>
                <w:color w:val="auto"/>
                <w:sz w:val="24"/>
                <w:szCs w:val="24"/>
                <w:highlight w:val="none"/>
                <w:shd w:val="clear" w:fill="auto"/>
                <w:lang w:val="en-US" w:eastAsia="zh-CN"/>
              </w:rPr>
              <w:t>13000</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shd w:val="clear" w:fill="auto"/>
              </w:rPr>
              <w:t>，具体播种品种、地点及面积以采购人要求为准。可选油菜花、波斯菊、硫化菊、百日草、向日葵等常见播种植物</w:t>
            </w:r>
            <w:r>
              <w:rPr>
                <w:rFonts w:hint="eastAsia" w:ascii="仿宋" w:hAnsi="仿宋" w:eastAsia="仿宋" w:cs="仿宋"/>
                <w:b/>
                <w:bCs/>
                <w:color w:val="auto"/>
                <w:sz w:val="24"/>
                <w:szCs w:val="24"/>
                <w:highlight w:val="none"/>
                <w:shd w:val="clear"/>
                <w:lang w:eastAsia="zh-CN"/>
              </w:rPr>
              <w:t>，</w:t>
            </w:r>
            <w:r>
              <w:rPr>
                <w:rFonts w:hint="eastAsia" w:ascii="仿宋" w:hAnsi="仿宋" w:eastAsia="仿宋" w:cs="仿宋"/>
                <w:b/>
                <w:bCs/>
                <w:color w:val="auto"/>
                <w:sz w:val="24"/>
                <w:szCs w:val="24"/>
                <w:highlight w:val="none"/>
              </w:rPr>
              <w:t>养护工作由中标人负责，所产生的费用包含在投标总价中</w:t>
            </w:r>
            <w:r>
              <w:rPr>
                <w:rFonts w:hint="eastAsia" w:ascii="仿宋" w:hAnsi="仿宋" w:eastAsia="仿宋" w:cs="仿宋"/>
                <w:b/>
                <w:bCs/>
                <w:color w:val="auto"/>
                <w:sz w:val="24"/>
                <w:szCs w:val="24"/>
                <w:highlight w:val="none"/>
                <w:shd w:val="clear" w:fill="FFFFFF"/>
              </w:rPr>
              <w:t>。</w:t>
            </w:r>
          </w:p>
          <w:p>
            <w:pPr>
              <w:pStyle w:val="17"/>
              <w:keepNext w:val="0"/>
              <w:keepLines w:val="0"/>
              <w:pageBreakBefore w:val="0"/>
              <w:kinsoku/>
              <w:wordWrap/>
              <w:overflowPunct/>
              <w:topLinePunct w:val="0"/>
              <w:autoSpaceDE/>
              <w:autoSpaceDN/>
              <w:bidi w:val="0"/>
              <w:adjustRightInd/>
              <w:snapToGrid/>
              <w:spacing w:line="288" w:lineRule="auto"/>
              <w:ind w:firstLine="480" w:firstLineChars="200"/>
              <w:rPr>
                <w:rFonts w:hint="eastAsia" w:ascii="仿宋" w:hAnsi="仿宋" w:eastAsia="仿宋" w:cs="仿宋"/>
                <w:b/>
                <w:bCs/>
                <w:color w:val="auto"/>
                <w:sz w:val="24"/>
                <w:szCs w:val="24"/>
                <w:shd w:val="clear" w:fill="FFFFFF"/>
              </w:rPr>
            </w:pPr>
            <w:r>
              <w:rPr>
                <w:rFonts w:hint="eastAsia" w:ascii="仿宋" w:hAnsi="仿宋" w:eastAsia="仿宋" w:cs="仿宋"/>
                <w:b/>
                <w:bCs/>
                <w:color w:val="auto"/>
                <w:sz w:val="24"/>
                <w:szCs w:val="24"/>
                <w:highlight w:val="none"/>
                <w:shd w:val="clear" w:fill="auto"/>
              </w:rPr>
              <w:t>③</w:t>
            </w:r>
            <w:r>
              <w:rPr>
                <w:rFonts w:hint="eastAsia" w:ascii="仿宋" w:hAnsi="仿宋" w:eastAsia="仿宋" w:cs="仿宋"/>
                <w:b/>
                <w:bCs/>
                <w:color w:val="auto"/>
                <w:sz w:val="24"/>
                <w:szCs w:val="24"/>
                <w:highlight w:val="none"/>
              </w:rPr>
              <w:t>中标人需根据采购人工作安排及需求，</w:t>
            </w:r>
            <w:r>
              <w:rPr>
                <w:rFonts w:hint="eastAsia" w:ascii="仿宋" w:hAnsi="仿宋" w:eastAsia="仿宋" w:cs="仿宋"/>
                <w:b/>
                <w:bCs/>
                <w:color w:val="auto"/>
                <w:sz w:val="24"/>
                <w:szCs w:val="24"/>
                <w:highlight w:val="none"/>
                <w:shd w:val="clear" w:fill="auto"/>
              </w:rPr>
              <w:t>每年</w:t>
            </w:r>
            <w:r>
              <w:rPr>
                <w:rFonts w:hint="eastAsia" w:ascii="仿宋" w:hAnsi="仿宋" w:eastAsia="仿宋" w:cs="仿宋"/>
                <w:b/>
                <w:bCs/>
                <w:color w:val="auto"/>
                <w:sz w:val="24"/>
                <w:szCs w:val="24"/>
                <w:highlight w:val="none"/>
                <w:shd w:val="clear" w:fill="auto"/>
                <w:lang w:val="en-US" w:eastAsia="zh-CN"/>
              </w:rPr>
              <w:t>一</w:t>
            </w:r>
            <w:r>
              <w:rPr>
                <w:rFonts w:hint="eastAsia" w:ascii="仿宋" w:hAnsi="仿宋" w:eastAsia="仿宋" w:cs="仿宋"/>
                <w:b/>
                <w:bCs/>
                <w:color w:val="auto"/>
                <w:sz w:val="24"/>
                <w:szCs w:val="24"/>
                <w:highlight w:val="none"/>
                <w:shd w:val="clear" w:fill="auto"/>
              </w:rPr>
              <w:t>次</w:t>
            </w:r>
            <w:r>
              <w:rPr>
                <w:rFonts w:hint="eastAsia" w:ascii="仿宋" w:hAnsi="仿宋" w:eastAsia="仿宋" w:cs="仿宋"/>
                <w:b/>
                <w:bCs/>
                <w:color w:val="auto"/>
                <w:sz w:val="24"/>
                <w:szCs w:val="24"/>
                <w:highlight w:val="none"/>
                <w:shd w:val="clear" w:fill="auto"/>
                <w:lang w:val="en-US" w:eastAsia="zh-CN"/>
              </w:rPr>
              <w:t>美丽</w:t>
            </w:r>
            <w:r>
              <w:rPr>
                <w:rFonts w:hint="eastAsia" w:ascii="仿宋" w:hAnsi="仿宋" w:eastAsia="仿宋" w:cs="仿宋"/>
                <w:b/>
                <w:bCs/>
                <w:color w:val="auto"/>
                <w:sz w:val="24"/>
                <w:szCs w:val="24"/>
                <w:highlight w:val="none"/>
                <w:shd w:val="clear" w:fill="auto"/>
              </w:rPr>
              <w:t>月见草播种，面积合计</w:t>
            </w:r>
            <w:r>
              <w:rPr>
                <w:rFonts w:hint="eastAsia" w:ascii="仿宋" w:hAnsi="仿宋" w:eastAsia="仿宋" w:cs="仿宋"/>
                <w:b/>
                <w:bCs/>
                <w:color w:val="auto"/>
                <w:sz w:val="24"/>
                <w:szCs w:val="24"/>
                <w:highlight w:val="none"/>
                <w:shd w:val="clear" w:fill="auto"/>
                <w:lang w:val="en-US" w:eastAsia="zh-CN"/>
              </w:rPr>
              <w:t>3000</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养护工作由中标人负责，所产生的费用包含在投标总价中</w:t>
            </w:r>
            <w:r>
              <w:rPr>
                <w:rFonts w:hint="eastAsia" w:ascii="仿宋" w:hAnsi="仿宋" w:eastAsia="仿宋" w:cs="仿宋"/>
                <w:b/>
                <w:bCs/>
                <w:color w:val="auto"/>
                <w:sz w:val="24"/>
                <w:szCs w:val="24"/>
                <w:highlight w:val="none"/>
                <w:shd w:val="clear" w:fill="FFFFFF"/>
              </w:rPr>
              <w:t>。</w:t>
            </w:r>
          </w:p>
          <w:p>
            <w:pPr>
              <w:pStyle w:val="17"/>
              <w:keepNext w:val="0"/>
              <w:keepLines w:val="0"/>
              <w:pageBreakBefore w:val="0"/>
              <w:kinsoku/>
              <w:wordWrap/>
              <w:overflowPunct/>
              <w:topLinePunct w:val="0"/>
              <w:autoSpaceDE/>
              <w:autoSpaceDN/>
              <w:bidi w:val="0"/>
              <w:adjustRightInd/>
              <w:snapToGrid/>
              <w:spacing w:line="288" w:lineRule="auto"/>
              <w:ind w:firstLine="481" w:firstLineChars="200"/>
              <w:rPr>
                <w:rFonts w:hint="eastAsia" w:ascii="仿宋" w:hAnsi="仿宋" w:eastAsia="仿宋" w:cs="仿宋"/>
                <w:b/>
                <w:bCs/>
                <w:color w:val="auto"/>
                <w:sz w:val="24"/>
                <w:szCs w:val="24"/>
                <w:shd w:val="clear" w:fill="auto"/>
              </w:rPr>
            </w:pPr>
            <w:r>
              <w:rPr>
                <w:rFonts w:hint="eastAsia" w:ascii="宋体" w:hAnsi="宋体" w:eastAsia="宋体" w:cs="宋体"/>
                <w:b/>
                <w:color w:val="auto"/>
                <w:sz w:val="24"/>
                <w:szCs w:val="24"/>
                <w:lang w:eastAsia="zh-CN"/>
              </w:rPr>
              <w:t>④</w:t>
            </w:r>
            <w:r>
              <w:rPr>
                <w:rFonts w:hint="eastAsia" w:ascii="仿宋" w:hAnsi="仿宋" w:eastAsia="仿宋" w:cs="仿宋"/>
                <w:b/>
                <w:bCs/>
                <w:color w:val="auto"/>
                <w:sz w:val="24"/>
                <w:szCs w:val="24"/>
                <w:shd w:val="clear" w:fill="auto"/>
              </w:rPr>
              <w:t>每个</w:t>
            </w:r>
            <w:r>
              <w:rPr>
                <w:rFonts w:hint="eastAsia" w:ascii="仿宋" w:hAnsi="仿宋" w:eastAsia="仿宋" w:cs="仿宋"/>
                <w:b/>
                <w:bCs/>
                <w:color w:val="auto"/>
                <w:sz w:val="24"/>
                <w:szCs w:val="24"/>
                <w:shd w:val="clear" w:fill="auto"/>
                <w:lang w:eastAsia="zh-CN"/>
              </w:rPr>
              <w:t>考核年度</w:t>
            </w:r>
            <w:r>
              <w:rPr>
                <w:rFonts w:hint="eastAsia" w:ascii="仿宋" w:hAnsi="仿宋" w:eastAsia="仿宋" w:cs="仿宋"/>
                <w:b/>
                <w:bCs/>
                <w:color w:val="auto"/>
                <w:sz w:val="24"/>
                <w:szCs w:val="24"/>
                <w:shd w:val="clear" w:fill="auto"/>
              </w:rPr>
              <w:t>提供100个免费工日；超出部分工费，按每人</w:t>
            </w:r>
            <w:r>
              <w:rPr>
                <w:rFonts w:hint="eastAsia" w:ascii="仿宋" w:hAnsi="仿宋" w:eastAsia="仿宋" w:cs="仿宋"/>
                <w:b/>
                <w:bCs/>
                <w:color w:val="auto"/>
                <w:sz w:val="24"/>
                <w:szCs w:val="24"/>
                <w:shd w:val="clear" w:fill="auto"/>
                <w:lang w:val="en-US" w:eastAsia="zh-CN"/>
              </w:rPr>
              <w:t>23</w:t>
            </w:r>
            <w:r>
              <w:rPr>
                <w:rFonts w:hint="eastAsia" w:ascii="仿宋" w:hAnsi="仿宋" w:eastAsia="仿宋" w:cs="仿宋"/>
                <w:b/>
                <w:bCs/>
                <w:color w:val="auto"/>
                <w:sz w:val="24"/>
                <w:szCs w:val="24"/>
                <w:shd w:val="clear" w:fill="auto"/>
              </w:rPr>
              <w:t>元/小时标准核计。</w:t>
            </w:r>
          </w:p>
          <w:p>
            <w:pPr>
              <w:pStyle w:val="17"/>
              <w:keepNext w:val="0"/>
              <w:keepLines w:val="0"/>
              <w:pageBreakBefore w:val="0"/>
              <w:kinsoku/>
              <w:wordWrap/>
              <w:overflowPunct/>
              <w:topLinePunct w:val="0"/>
              <w:autoSpaceDE/>
              <w:autoSpaceDN/>
              <w:bidi w:val="0"/>
              <w:adjustRightInd/>
              <w:snapToGrid/>
              <w:spacing w:line="288" w:lineRule="auto"/>
              <w:ind w:firstLine="380"/>
              <w:rPr>
                <w:rFonts w:hint="eastAsia" w:ascii="仿宋" w:hAnsi="仿宋" w:eastAsia="仿宋" w:cs="仿宋"/>
                <w:color w:val="auto"/>
                <w:sz w:val="24"/>
                <w:szCs w:val="24"/>
              </w:rPr>
            </w:pPr>
            <w:r>
              <w:rPr>
                <w:rFonts w:hint="eastAsia" w:ascii="仿宋" w:hAnsi="仿宋" w:eastAsia="仿宋" w:cs="仿宋"/>
                <w:b/>
                <w:color w:val="auto"/>
                <w:sz w:val="24"/>
                <w:szCs w:val="24"/>
              </w:rPr>
              <w:t>（投标时需要单独提供上述针对第①</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②</w:t>
            </w: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③</w:t>
            </w:r>
            <w:r>
              <w:rPr>
                <w:rFonts w:hint="eastAsia" w:ascii="仿宋" w:hAnsi="仿宋" w:eastAsia="仿宋" w:cs="仿宋"/>
                <w:b/>
                <w:color w:val="auto"/>
                <w:sz w:val="24"/>
                <w:szCs w:val="24"/>
                <w:lang w:eastAsia="zh-CN"/>
              </w:rPr>
              <w:t>、</w:t>
            </w:r>
            <w:r>
              <w:rPr>
                <w:rFonts w:hint="eastAsia" w:ascii="宋体" w:hAnsi="宋体" w:eastAsia="宋体" w:cs="宋体"/>
                <w:b/>
                <w:color w:val="auto"/>
                <w:sz w:val="24"/>
                <w:szCs w:val="24"/>
                <w:lang w:eastAsia="zh-CN"/>
              </w:rPr>
              <w:t>④</w:t>
            </w:r>
            <w:r>
              <w:rPr>
                <w:rFonts w:hint="eastAsia" w:ascii="仿宋" w:hAnsi="仿宋" w:eastAsia="仿宋" w:cs="仿宋"/>
                <w:b/>
                <w:color w:val="auto"/>
                <w:sz w:val="24"/>
                <w:szCs w:val="24"/>
              </w:rPr>
              <w:t>点的承诺函，否则按无效投标处理）</w:t>
            </w:r>
          </w:p>
        </w:tc>
      </w:tr>
    </w:tbl>
    <w:p>
      <w:pPr>
        <w:pStyle w:val="17"/>
        <w:keepNext w:val="0"/>
        <w:keepLines w:val="0"/>
        <w:pageBreakBefore w:val="0"/>
        <w:kinsoku/>
        <w:wordWrap/>
        <w:overflowPunct/>
        <w:topLinePunct w:val="0"/>
        <w:autoSpaceDE/>
        <w:autoSpaceDN/>
        <w:bidi w:val="0"/>
        <w:adjustRightInd/>
        <w:snapToGrid/>
        <w:spacing w:line="288" w:lineRule="auto"/>
        <w:ind w:firstLine="405"/>
        <w:rPr>
          <w:rFonts w:hint="eastAsia" w:ascii="仿宋" w:hAnsi="仿宋" w:eastAsia="仿宋" w:cs="仿宋"/>
          <w:b/>
          <w:bCs/>
          <w:color w:val="auto"/>
          <w:sz w:val="24"/>
          <w:szCs w:val="24"/>
        </w:rPr>
      </w:pPr>
      <w:r>
        <w:rPr>
          <w:rFonts w:hint="eastAsia" w:ascii="仿宋" w:hAnsi="仿宋" w:eastAsia="仿宋" w:cs="仿宋"/>
          <w:color w:val="auto"/>
          <w:sz w:val="24"/>
          <w:szCs w:val="24"/>
        </w:rPr>
        <w:t>★</w:t>
      </w:r>
      <w:r>
        <w:rPr>
          <w:rFonts w:hint="eastAsia" w:ascii="仿宋" w:hAnsi="仿宋" w:eastAsia="仿宋" w:cs="仿宋"/>
          <w:b/>
          <w:bCs/>
          <w:color w:val="auto"/>
          <w:sz w:val="24"/>
          <w:szCs w:val="24"/>
        </w:rPr>
        <w:t>序号7：</w:t>
      </w:r>
      <w:r>
        <w:rPr>
          <w:rFonts w:hint="eastAsia" w:ascii="仿宋" w:hAnsi="仿宋" w:eastAsia="仿宋" w:cs="仿宋"/>
          <w:b/>
          <w:bCs/>
          <w:color w:val="auto"/>
          <w:sz w:val="24"/>
          <w:szCs w:val="24"/>
          <w:shd w:val="clear" w:fill="FFFFFF"/>
        </w:rPr>
        <w:t>抢险救灾：</w:t>
      </w:r>
      <w:r>
        <w:rPr>
          <w:rFonts w:hint="eastAsia" w:ascii="仿宋" w:hAnsi="仿宋" w:eastAsia="仿宋" w:cs="仿宋"/>
          <w:b/>
          <w:bCs/>
          <w:color w:val="auto"/>
          <w:sz w:val="24"/>
          <w:szCs w:val="24"/>
        </w:rPr>
        <w:t>如遇突击性工作任务时，中标人应积极支持配合采购人工作。在台风等重大自然灾害期间的抢险救灾任务时，中标人须承诺现场抢险须满足但不限于以下设备（投标时需要单独提供承诺函，否则按无效投标处理。）</w:t>
      </w:r>
    </w:p>
    <w:p>
      <w:pPr>
        <w:pStyle w:val="17"/>
        <w:keepNext w:val="0"/>
        <w:keepLines w:val="0"/>
        <w:pageBreakBefore w:val="0"/>
        <w:kinsoku/>
        <w:wordWrap/>
        <w:overflowPunct/>
        <w:topLinePunct w:val="0"/>
        <w:autoSpaceDE/>
        <w:autoSpaceDN/>
        <w:bidi w:val="0"/>
        <w:adjustRightInd/>
        <w:snapToGrid/>
        <w:spacing w:line="288" w:lineRule="auto"/>
        <w:ind w:firstLine="405"/>
        <w:rPr>
          <w:rFonts w:hint="eastAsia" w:ascii="仿宋" w:hAnsi="仿宋" w:eastAsia="仿宋" w:cs="仿宋"/>
          <w:b/>
          <w:bCs/>
          <w:color w:val="auto"/>
          <w:sz w:val="24"/>
          <w:szCs w:val="24"/>
        </w:rPr>
      </w:pPr>
      <w:r>
        <w:rPr>
          <w:rFonts w:hint="eastAsia" w:ascii="仿宋" w:hAnsi="仿宋" w:eastAsia="仿宋" w:cs="仿宋"/>
          <w:b/>
          <w:bCs/>
          <w:color w:val="auto"/>
          <w:sz w:val="24"/>
          <w:szCs w:val="24"/>
          <w:shd w:val="clear" w:fill="FFFFFF"/>
        </w:rPr>
        <w:t>(1)抢险人数不少于60人；</w:t>
      </w:r>
    </w:p>
    <w:p>
      <w:pPr>
        <w:pStyle w:val="17"/>
        <w:keepNext w:val="0"/>
        <w:keepLines w:val="0"/>
        <w:pageBreakBefore w:val="0"/>
        <w:kinsoku/>
        <w:wordWrap/>
        <w:overflowPunct/>
        <w:topLinePunct w:val="0"/>
        <w:autoSpaceDE/>
        <w:autoSpaceDN/>
        <w:bidi w:val="0"/>
        <w:adjustRightInd/>
        <w:snapToGrid/>
        <w:spacing w:line="288" w:lineRule="auto"/>
        <w:ind w:firstLine="405"/>
        <w:rPr>
          <w:rFonts w:hint="eastAsia" w:ascii="仿宋" w:hAnsi="仿宋" w:eastAsia="仿宋" w:cs="仿宋"/>
          <w:b/>
          <w:bCs/>
          <w:color w:val="auto"/>
          <w:sz w:val="24"/>
          <w:szCs w:val="24"/>
        </w:rPr>
      </w:pPr>
      <w:r>
        <w:rPr>
          <w:rFonts w:hint="eastAsia" w:ascii="仿宋" w:hAnsi="仿宋" w:eastAsia="仿宋" w:cs="仿宋"/>
          <w:b/>
          <w:bCs/>
          <w:color w:val="auto"/>
          <w:sz w:val="24"/>
          <w:szCs w:val="24"/>
          <w:shd w:val="clear" w:fill="FFFFFF"/>
        </w:rPr>
        <w:t>(2)2.5T及以上的垃圾清运车不少于5辆；</w:t>
      </w:r>
    </w:p>
    <w:p>
      <w:pPr>
        <w:pStyle w:val="17"/>
        <w:keepNext w:val="0"/>
        <w:keepLines w:val="0"/>
        <w:pageBreakBefore w:val="0"/>
        <w:kinsoku/>
        <w:wordWrap/>
        <w:overflowPunct/>
        <w:topLinePunct w:val="0"/>
        <w:autoSpaceDE/>
        <w:autoSpaceDN/>
        <w:bidi w:val="0"/>
        <w:adjustRightInd/>
        <w:snapToGrid/>
        <w:spacing w:line="288" w:lineRule="auto"/>
        <w:ind w:firstLine="405"/>
        <w:rPr>
          <w:rFonts w:hint="eastAsia" w:ascii="仿宋" w:hAnsi="仿宋" w:eastAsia="仿宋" w:cs="仿宋"/>
          <w:b/>
          <w:bCs/>
          <w:color w:val="auto"/>
          <w:sz w:val="24"/>
          <w:szCs w:val="24"/>
        </w:rPr>
      </w:pPr>
      <w:r>
        <w:rPr>
          <w:rFonts w:hint="eastAsia" w:ascii="仿宋" w:hAnsi="仿宋" w:eastAsia="仿宋" w:cs="仿宋"/>
          <w:b/>
          <w:bCs/>
          <w:color w:val="auto"/>
          <w:sz w:val="24"/>
          <w:szCs w:val="24"/>
          <w:shd w:val="clear" w:fill="FFFFFF"/>
        </w:rPr>
        <w:t>(3)油锯不少于10把；</w:t>
      </w:r>
    </w:p>
    <w:p>
      <w:pPr>
        <w:pStyle w:val="17"/>
        <w:keepNext w:val="0"/>
        <w:keepLines w:val="0"/>
        <w:pageBreakBefore w:val="0"/>
        <w:kinsoku/>
        <w:wordWrap/>
        <w:overflowPunct/>
        <w:topLinePunct w:val="0"/>
        <w:autoSpaceDE/>
        <w:autoSpaceDN/>
        <w:bidi w:val="0"/>
        <w:adjustRightInd/>
        <w:snapToGrid/>
        <w:spacing w:line="288" w:lineRule="auto"/>
        <w:ind w:firstLine="405"/>
        <w:rPr>
          <w:rFonts w:hint="eastAsia" w:ascii="仿宋" w:hAnsi="仿宋" w:eastAsia="仿宋" w:cs="仿宋"/>
          <w:b/>
          <w:bCs/>
          <w:color w:val="auto"/>
          <w:sz w:val="24"/>
          <w:szCs w:val="24"/>
        </w:rPr>
      </w:pPr>
      <w:r>
        <w:rPr>
          <w:rFonts w:hint="eastAsia" w:ascii="仿宋" w:hAnsi="仿宋" w:eastAsia="仿宋" w:cs="仿宋"/>
          <w:b/>
          <w:bCs/>
          <w:color w:val="auto"/>
          <w:sz w:val="24"/>
          <w:szCs w:val="24"/>
          <w:shd w:val="clear" w:fill="FFFFFF"/>
        </w:rPr>
        <w:t>(4)抽水泵不少于6台；</w:t>
      </w:r>
    </w:p>
    <w:p>
      <w:pPr>
        <w:pStyle w:val="17"/>
        <w:keepNext w:val="0"/>
        <w:keepLines w:val="0"/>
        <w:pageBreakBefore w:val="0"/>
        <w:kinsoku/>
        <w:wordWrap/>
        <w:overflowPunct/>
        <w:topLinePunct w:val="0"/>
        <w:autoSpaceDE/>
        <w:autoSpaceDN/>
        <w:bidi w:val="0"/>
        <w:adjustRightInd/>
        <w:snapToGrid/>
        <w:spacing w:line="288" w:lineRule="auto"/>
        <w:ind w:firstLine="405"/>
        <w:rPr>
          <w:rFonts w:hint="eastAsia" w:ascii="仿宋" w:hAnsi="仿宋" w:eastAsia="仿宋" w:cs="仿宋"/>
          <w:b/>
          <w:bCs/>
          <w:color w:val="auto"/>
          <w:sz w:val="24"/>
          <w:szCs w:val="24"/>
        </w:rPr>
      </w:pPr>
      <w:r>
        <w:rPr>
          <w:rFonts w:hint="eastAsia" w:ascii="仿宋" w:hAnsi="仿宋" w:eastAsia="仿宋" w:cs="仿宋"/>
          <w:b/>
          <w:bCs/>
          <w:color w:val="auto"/>
          <w:sz w:val="24"/>
          <w:szCs w:val="24"/>
          <w:shd w:val="clear" w:fill="FFFFFF"/>
        </w:rPr>
        <w:t>(5)发电机不少于4台；</w:t>
      </w:r>
    </w:p>
    <w:p>
      <w:pPr>
        <w:pStyle w:val="17"/>
        <w:keepNext w:val="0"/>
        <w:keepLines w:val="0"/>
        <w:pageBreakBefore w:val="0"/>
        <w:kinsoku/>
        <w:wordWrap/>
        <w:overflowPunct/>
        <w:topLinePunct w:val="0"/>
        <w:autoSpaceDE/>
        <w:autoSpaceDN/>
        <w:bidi w:val="0"/>
        <w:adjustRightInd/>
        <w:snapToGrid/>
        <w:spacing w:line="288" w:lineRule="auto"/>
        <w:ind w:firstLine="480"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shd w:val="clear" w:fill="FFFFFF"/>
        </w:rPr>
        <w:t>(6)高空修剪车不少于1辆；</w:t>
      </w:r>
    </w:p>
    <w:p>
      <w:pPr>
        <w:pStyle w:val="17"/>
        <w:keepNext w:val="0"/>
        <w:keepLines w:val="0"/>
        <w:pageBreakBefore w:val="0"/>
        <w:kinsoku/>
        <w:wordWrap/>
        <w:overflowPunct/>
        <w:topLinePunct w:val="0"/>
        <w:autoSpaceDE/>
        <w:autoSpaceDN/>
        <w:bidi w:val="0"/>
        <w:adjustRightInd/>
        <w:snapToGrid/>
        <w:spacing w:line="288" w:lineRule="auto"/>
        <w:ind w:firstLine="480"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shd w:val="clear" w:fill="FFFFFF"/>
        </w:rPr>
        <w:t>(7)吊车不少于3辆。</w:t>
      </w:r>
    </w:p>
    <w:p>
      <w:pPr>
        <w:pStyle w:val="17"/>
        <w:keepNext w:val="0"/>
        <w:keepLines w:val="0"/>
        <w:pageBreakBefore w:val="0"/>
        <w:kinsoku/>
        <w:wordWrap/>
        <w:overflowPunct/>
        <w:topLinePunct w:val="0"/>
        <w:autoSpaceDE/>
        <w:autoSpaceDN/>
        <w:bidi w:val="0"/>
        <w:adjustRightInd/>
        <w:snapToGrid/>
        <w:spacing w:line="288"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序号8：</w:t>
      </w:r>
      <w:r>
        <w:rPr>
          <w:rFonts w:hint="eastAsia" w:ascii="仿宋" w:hAnsi="仿宋" w:eastAsia="仿宋" w:cs="仿宋"/>
          <w:color w:val="auto"/>
          <w:sz w:val="24"/>
          <w:szCs w:val="24"/>
          <w:shd w:val="clear" w:fill="FFFFFF"/>
        </w:rPr>
        <w:t>安全责任：中标人必须重视安全生产，确保不出安全责任事故。养护期间，养护工人由于操作不规范等因素造成的安全责任事故，由中标人承担一切责任。若采购人先行垫付的，采购人有权抵扣中标人的绿化养护费，若养护费不足以偿还的，采购人可向中标人继续追偿。</w:t>
      </w:r>
    </w:p>
    <w:p>
      <w:pPr>
        <w:pStyle w:val="17"/>
        <w:keepNext w:val="0"/>
        <w:keepLines w:val="0"/>
        <w:pageBreakBefore w:val="0"/>
        <w:kinsoku/>
        <w:wordWrap/>
        <w:overflowPunct/>
        <w:topLinePunct w:val="0"/>
        <w:autoSpaceDE/>
        <w:autoSpaceDN/>
        <w:bidi w:val="0"/>
        <w:adjustRightInd/>
        <w:snapToGrid/>
        <w:spacing w:line="288"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序号9：</w:t>
      </w:r>
      <w:r>
        <w:rPr>
          <w:rFonts w:hint="eastAsia" w:ascii="仿宋" w:hAnsi="仿宋" w:eastAsia="仿宋" w:cs="仿宋"/>
          <w:color w:val="auto"/>
          <w:sz w:val="24"/>
          <w:szCs w:val="24"/>
          <w:shd w:val="clear" w:fill="FFFFFF"/>
        </w:rPr>
        <w:t>植保工作：病虫害防治、薇甘菊、菟丝子、红</w:t>
      </w:r>
      <w:r>
        <w:rPr>
          <w:rFonts w:hint="eastAsia" w:ascii="仿宋" w:hAnsi="仿宋" w:eastAsia="仿宋" w:cs="仿宋"/>
          <w:color w:val="auto"/>
          <w:sz w:val="24"/>
          <w:szCs w:val="24"/>
          <w:highlight w:val="none"/>
          <w:shd w:val="clear" w:fill="FFFFFF"/>
        </w:rPr>
        <w:t>火蚁、</w:t>
      </w:r>
      <w:r>
        <w:rPr>
          <w:rFonts w:hint="eastAsia" w:ascii="仿宋" w:hAnsi="仿宋" w:eastAsia="仿宋" w:cs="仿宋"/>
          <w:color w:val="auto"/>
          <w:sz w:val="24"/>
          <w:szCs w:val="24"/>
          <w:highlight w:val="none"/>
          <w:shd w:val="clear" w:fill="FFFFFF"/>
          <w:lang w:val="en-US" w:eastAsia="zh-CN"/>
        </w:rPr>
        <w:t>白蚂蚁、</w:t>
      </w:r>
      <w:r>
        <w:rPr>
          <w:rFonts w:hint="eastAsia" w:ascii="仿宋" w:hAnsi="仿宋" w:eastAsia="仿宋" w:cs="仿宋"/>
          <w:color w:val="auto"/>
          <w:sz w:val="24"/>
          <w:szCs w:val="24"/>
          <w:highlight w:val="none"/>
          <w:shd w:val="clear" w:fill="FFFFFF"/>
        </w:rPr>
        <w:t>胡</w:t>
      </w:r>
      <w:r>
        <w:rPr>
          <w:rFonts w:hint="eastAsia" w:ascii="仿宋" w:hAnsi="仿宋" w:eastAsia="仿宋" w:cs="仿宋"/>
          <w:color w:val="auto"/>
          <w:sz w:val="24"/>
          <w:szCs w:val="24"/>
          <w:shd w:val="clear" w:fill="FFFFFF"/>
        </w:rPr>
        <w:t>蜂、马蜂等外来检疫性有害生物的清理和防治的费用由中标人负责。</w:t>
      </w:r>
    </w:p>
    <w:p>
      <w:pPr>
        <w:pStyle w:val="17"/>
        <w:keepNext w:val="0"/>
        <w:keepLines w:val="0"/>
        <w:pageBreakBefore w:val="0"/>
        <w:kinsoku/>
        <w:wordWrap/>
        <w:overflowPunct/>
        <w:topLinePunct w:val="0"/>
        <w:autoSpaceDE/>
        <w:autoSpaceDN/>
        <w:bidi w:val="0"/>
        <w:adjustRightInd/>
        <w:snapToGrid/>
        <w:spacing w:line="288" w:lineRule="auto"/>
        <w:ind w:firstLine="405"/>
        <w:rPr>
          <w:rFonts w:hint="eastAsia" w:ascii="仿宋" w:hAnsi="仿宋" w:eastAsia="仿宋" w:cs="仿宋"/>
          <w:color w:val="auto"/>
          <w:sz w:val="24"/>
          <w:szCs w:val="24"/>
        </w:rPr>
      </w:pPr>
      <w:r>
        <w:rPr>
          <w:rFonts w:hint="eastAsia" w:ascii="仿宋" w:hAnsi="仿宋" w:eastAsia="仿宋" w:cs="仿宋"/>
          <w:color w:val="auto"/>
          <w:sz w:val="24"/>
          <w:szCs w:val="24"/>
        </w:rPr>
        <w:t>序号10：</w:t>
      </w:r>
      <w:r>
        <w:rPr>
          <w:rFonts w:hint="eastAsia" w:ascii="仿宋" w:hAnsi="仿宋" w:eastAsia="仿宋" w:cs="仿宋"/>
          <w:color w:val="auto"/>
          <w:sz w:val="24"/>
          <w:szCs w:val="24"/>
          <w:shd w:val="clear" w:fill="FFFFFF"/>
        </w:rPr>
        <w:t>隐蔽签证：中标方负责大树安全隐患的排查及处置工作。大树修剪、施肥及农药的使用需经采购人同意，并做好签证。</w:t>
      </w:r>
    </w:p>
    <w:p>
      <w:pPr>
        <w:pStyle w:val="17"/>
        <w:keepNext w:val="0"/>
        <w:keepLines w:val="0"/>
        <w:pageBreakBefore w:val="0"/>
        <w:kinsoku/>
        <w:wordWrap/>
        <w:overflowPunct/>
        <w:topLinePunct w:val="0"/>
        <w:autoSpaceDE/>
        <w:autoSpaceDN/>
        <w:bidi w:val="0"/>
        <w:adjustRightInd/>
        <w:snapToGrid/>
        <w:spacing w:line="288" w:lineRule="auto"/>
        <w:ind w:firstLine="405"/>
        <w:rPr>
          <w:rFonts w:hint="eastAsia" w:ascii="仿宋" w:hAnsi="仿宋" w:eastAsia="仿宋" w:cs="仿宋"/>
          <w:color w:val="auto"/>
          <w:sz w:val="24"/>
          <w:szCs w:val="24"/>
        </w:rPr>
      </w:pPr>
      <w:r>
        <w:rPr>
          <w:rFonts w:hint="eastAsia" w:ascii="仿宋" w:hAnsi="仿宋" w:eastAsia="仿宋" w:cs="仿宋"/>
          <w:b w:val="0"/>
          <w:bCs w:val="0"/>
          <w:color w:val="auto"/>
          <w:sz w:val="24"/>
          <w:szCs w:val="24"/>
          <w:shd w:val="clear" w:fill="FFFFFF"/>
        </w:rPr>
        <w:t>（</w:t>
      </w:r>
      <w:r>
        <w:rPr>
          <w:rFonts w:hint="eastAsia" w:ascii="仿宋" w:hAnsi="仿宋" w:eastAsia="仿宋" w:cs="仿宋"/>
          <w:b w:val="0"/>
          <w:bCs w:val="0"/>
          <w:color w:val="auto"/>
          <w:sz w:val="24"/>
          <w:szCs w:val="24"/>
          <w:shd w:val="clear" w:fill="FFFFFF"/>
          <w:lang w:val="en-US" w:eastAsia="zh-CN"/>
        </w:rPr>
        <w:t>三</w:t>
      </w:r>
      <w:r>
        <w:rPr>
          <w:rFonts w:hint="eastAsia" w:ascii="仿宋" w:hAnsi="仿宋" w:eastAsia="仿宋" w:cs="仿宋"/>
          <w:b w:val="0"/>
          <w:bCs w:val="0"/>
          <w:color w:val="auto"/>
          <w:sz w:val="24"/>
          <w:szCs w:val="24"/>
          <w:shd w:val="clear" w:fill="FFFFFF"/>
        </w:rPr>
        <w:t>）对人员的要求</w:t>
      </w:r>
    </w:p>
    <w:p>
      <w:pPr>
        <w:pStyle w:val="17"/>
        <w:keepNext w:val="0"/>
        <w:keepLines w:val="0"/>
        <w:pageBreakBefore w:val="0"/>
        <w:kinsoku/>
        <w:wordWrap/>
        <w:overflowPunct/>
        <w:topLinePunct w:val="0"/>
        <w:autoSpaceDE/>
        <w:autoSpaceDN/>
        <w:bidi w:val="0"/>
        <w:adjustRightInd/>
        <w:snapToGrid/>
        <w:spacing w:line="288" w:lineRule="auto"/>
        <w:ind w:firstLine="405"/>
        <w:rPr>
          <w:rFonts w:hint="eastAsia" w:ascii="仿宋" w:hAnsi="仿宋" w:eastAsia="仿宋" w:cs="仿宋"/>
          <w:color w:val="auto"/>
          <w:sz w:val="24"/>
          <w:szCs w:val="24"/>
        </w:rPr>
      </w:pPr>
      <w:r>
        <w:rPr>
          <w:rFonts w:hint="eastAsia" w:ascii="仿宋" w:hAnsi="仿宋" w:eastAsia="仿宋" w:cs="仿宋"/>
          <w:color w:val="auto"/>
          <w:sz w:val="24"/>
          <w:szCs w:val="24"/>
        </w:rPr>
        <w:t>序号</w:t>
      </w: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rPr>
        <w:t>：</w:t>
      </w:r>
      <w:r>
        <w:rPr>
          <w:rFonts w:hint="eastAsia" w:ascii="仿宋" w:hAnsi="仿宋" w:eastAsia="仿宋" w:cs="仿宋"/>
          <w:color w:val="auto"/>
          <w:sz w:val="24"/>
          <w:szCs w:val="24"/>
          <w:shd w:val="clear" w:fill="FFFFFF"/>
        </w:rPr>
        <w:t>服务范围内的绿化养护工作，中标人根据双方合同规定的职位及人数向公园派驻足够的养护服务人员，提供合同规定的服务内容。所有员工的招聘、录／退用由中标人负责。中标人在正式进场前7天，需将项目负责人、技术负责人和现场管理员的资料交采购人报备。无特殊原因不得擅自改动,确需改动,要征求采购人确认后方可进行。未经采购人通知和同意，中标人不得随意更改上班作息时间和调换增减所属员工。</w:t>
      </w:r>
    </w:p>
    <w:p>
      <w:pPr>
        <w:pStyle w:val="17"/>
        <w:keepNext w:val="0"/>
        <w:keepLines w:val="0"/>
        <w:pageBreakBefore w:val="0"/>
        <w:kinsoku/>
        <w:wordWrap/>
        <w:overflowPunct/>
        <w:topLinePunct w:val="0"/>
        <w:autoSpaceDE/>
        <w:autoSpaceDN/>
        <w:bidi w:val="0"/>
        <w:adjustRightInd/>
        <w:snapToGrid/>
        <w:spacing w:line="288" w:lineRule="auto"/>
        <w:ind w:firstLine="345"/>
        <w:rPr>
          <w:rFonts w:hint="eastAsia" w:ascii="仿宋" w:hAnsi="仿宋" w:eastAsia="仿宋" w:cs="仿宋"/>
          <w:color w:val="auto"/>
          <w:sz w:val="24"/>
          <w:szCs w:val="24"/>
          <w:shd w:val="clear" w:fill="FFFFFF"/>
        </w:rPr>
      </w:pPr>
      <w:r>
        <w:rPr>
          <w:rFonts w:hint="eastAsia" w:ascii="仿宋" w:hAnsi="仿宋" w:eastAsia="仿宋" w:cs="仿宋"/>
          <w:color w:val="auto"/>
          <w:sz w:val="24"/>
          <w:szCs w:val="24"/>
        </w:rPr>
        <w:t>序号</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w:t>
      </w:r>
      <w:r>
        <w:rPr>
          <w:rFonts w:hint="eastAsia" w:ascii="仿宋" w:hAnsi="仿宋" w:eastAsia="仿宋" w:cs="仿宋"/>
          <w:color w:val="auto"/>
          <w:sz w:val="24"/>
          <w:szCs w:val="24"/>
          <w:shd w:val="clear" w:fill="FFFFFF"/>
        </w:rPr>
        <w:t>所有人员的岗位配备，由中标人</w:t>
      </w:r>
      <w:r>
        <w:rPr>
          <w:rFonts w:hint="eastAsia" w:ascii="仿宋" w:hAnsi="仿宋" w:eastAsia="仿宋" w:cs="仿宋"/>
          <w:color w:val="auto"/>
          <w:sz w:val="24"/>
          <w:szCs w:val="24"/>
          <w:highlight w:val="none"/>
          <w:shd w:val="clear" w:fill="FFFFFF"/>
        </w:rPr>
        <w:t>负责提供详细说明计划，必须以报告形式告知采购人，中标人所派遣的所有人员必须经过采购人审核通过后才能进场。中标人必须为本项目配备1名项目负责人、1名技术负责人、</w:t>
      </w:r>
      <w:r>
        <w:rPr>
          <w:rFonts w:hint="eastAsia" w:ascii="仿宋" w:hAnsi="仿宋" w:eastAsia="仿宋" w:cs="仿宋"/>
          <w:color w:val="auto"/>
          <w:sz w:val="24"/>
          <w:szCs w:val="24"/>
          <w:highlight w:val="none"/>
          <w:shd w:val="clear" w:fill="FFFFFF"/>
          <w:lang w:val="en-US" w:eastAsia="zh-CN"/>
        </w:rPr>
        <w:t>2</w:t>
      </w:r>
      <w:r>
        <w:rPr>
          <w:rFonts w:hint="eastAsia" w:ascii="仿宋" w:hAnsi="仿宋" w:eastAsia="仿宋" w:cs="仿宋"/>
          <w:color w:val="auto"/>
          <w:sz w:val="24"/>
          <w:szCs w:val="24"/>
          <w:highlight w:val="none"/>
          <w:shd w:val="clear" w:fill="FFFFFF"/>
        </w:rPr>
        <w:t>名现场管理员</w:t>
      </w:r>
      <w:r>
        <w:rPr>
          <w:rFonts w:hint="eastAsia" w:ascii="仿宋" w:hAnsi="仿宋" w:eastAsia="仿宋" w:cs="仿宋"/>
          <w:color w:val="auto"/>
          <w:sz w:val="24"/>
          <w:szCs w:val="24"/>
          <w:highlight w:val="none"/>
          <w:shd w:val="clear" w:fill="FFFFFF"/>
          <w:lang w:eastAsia="zh-CN"/>
        </w:rPr>
        <w:t>、</w:t>
      </w:r>
      <w:r>
        <w:rPr>
          <w:rFonts w:hint="eastAsia" w:ascii="仿宋" w:hAnsi="仿宋" w:eastAsia="仿宋" w:cs="仿宋"/>
          <w:color w:val="auto"/>
          <w:sz w:val="24"/>
          <w:szCs w:val="24"/>
          <w:highlight w:val="none"/>
          <w:shd w:val="clear" w:fill="FFFFFF"/>
          <w:lang w:val="en-US" w:eastAsia="zh-CN"/>
        </w:rPr>
        <w:t>1名</w:t>
      </w:r>
      <w:r>
        <w:rPr>
          <w:rFonts w:hint="eastAsia" w:ascii="仿宋" w:hAnsi="仿宋" w:eastAsia="仿宋" w:cs="仿宋"/>
          <w:color w:val="auto"/>
          <w:sz w:val="24"/>
          <w:szCs w:val="24"/>
          <w:highlight w:val="none"/>
          <w:shd w:val="clear" w:fill="FFFFFF"/>
          <w:lang w:eastAsia="zh-CN"/>
        </w:rPr>
        <w:t>植保专业技术人员、</w:t>
      </w:r>
      <w:r>
        <w:rPr>
          <w:rFonts w:hint="eastAsia" w:ascii="仿宋" w:hAnsi="仿宋" w:eastAsia="仿宋" w:cs="仿宋"/>
          <w:color w:val="auto"/>
          <w:sz w:val="24"/>
          <w:szCs w:val="24"/>
          <w:highlight w:val="none"/>
          <w:shd w:val="clear" w:fill="FFFFFF"/>
          <w:lang w:val="en-US" w:eastAsia="zh-CN"/>
        </w:rPr>
        <w:t>31</w:t>
      </w:r>
      <w:r>
        <w:rPr>
          <w:rFonts w:hint="eastAsia" w:ascii="仿宋" w:hAnsi="仿宋" w:eastAsia="仿宋" w:cs="仿宋"/>
          <w:color w:val="auto"/>
          <w:sz w:val="24"/>
          <w:szCs w:val="24"/>
          <w:highlight w:val="none"/>
          <w:shd w:val="clear" w:fill="FFFFFF"/>
        </w:rPr>
        <w:t>名作业人员</w:t>
      </w:r>
      <w:r>
        <w:rPr>
          <w:rFonts w:hint="eastAsia" w:ascii="仿宋" w:hAnsi="仿宋" w:eastAsia="仿宋" w:cs="仿宋"/>
          <w:color w:val="auto"/>
          <w:sz w:val="24"/>
          <w:szCs w:val="24"/>
          <w:highlight w:val="none"/>
          <w:shd w:val="clear" w:fill="FFFFFF"/>
          <w:lang w:eastAsia="zh-CN"/>
        </w:rPr>
        <w:t>（应</w:t>
      </w:r>
      <w:r>
        <w:rPr>
          <w:rFonts w:hint="eastAsia" w:ascii="仿宋" w:hAnsi="仿宋" w:eastAsia="仿宋" w:cs="仿宋"/>
          <w:color w:val="auto"/>
          <w:sz w:val="24"/>
          <w:szCs w:val="24"/>
          <w:highlight w:val="none"/>
          <w:shd w:val="clear" w:fill="FFFFFF"/>
          <w:lang w:val="en-US" w:eastAsia="zh-CN"/>
        </w:rPr>
        <w:t>包含</w:t>
      </w:r>
      <w:r>
        <w:rPr>
          <w:rFonts w:hint="eastAsia" w:ascii="仿宋" w:hAnsi="仿宋" w:eastAsia="仿宋" w:cs="仿宋"/>
          <w:color w:val="auto"/>
          <w:sz w:val="24"/>
          <w:szCs w:val="24"/>
          <w:highlight w:val="none"/>
          <w:shd w:val="clear" w:fill="FFFFFF"/>
          <w:lang w:eastAsia="zh-CN"/>
        </w:rPr>
        <w:t>持有绿化工或花卉工或花卉园艺师相关证书</w:t>
      </w:r>
      <w:r>
        <w:rPr>
          <w:rFonts w:hint="eastAsia" w:ascii="仿宋" w:hAnsi="仿宋" w:eastAsia="仿宋" w:cs="仿宋"/>
          <w:color w:val="auto"/>
          <w:sz w:val="24"/>
          <w:szCs w:val="24"/>
          <w:highlight w:val="none"/>
          <w:shd w:val="clear" w:fill="FFFFFF"/>
          <w:lang w:val="en-US" w:eastAsia="zh-CN"/>
        </w:rPr>
        <w:t>的</w:t>
      </w:r>
      <w:r>
        <w:rPr>
          <w:rFonts w:hint="eastAsia" w:ascii="仿宋" w:hAnsi="仿宋" w:eastAsia="仿宋" w:cs="仿宋"/>
          <w:color w:val="auto"/>
          <w:sz w:val="24"/>
          <w:szCs w:val="24"/>
          <w:highlight w:val="none"/>
          <w:shd w:val="clear" w:fill="FFFFFF"/>
        </w:rPr>
        <w:t>作业人员</w:t>
      </w:r>
      <w:r>
        <w:rPr>
          <w:rFonts w:hint="eastAsia" w:ascii="仿宋" w:hAnsi="仿宋" w:eastAsia="仿宋" w:cs="仿宋"/>
          <w:color w:val="auto"/>
          <w:sz w:val="24"/>
          <w:szCs w:val="24"/>
          <w:highlight w:val="none"/>
          <w:shd w:val="clear" w:fill="FFFFFF"/>
          <w:lang w:eastAsia="zh-CN"/>
        </w:rPr>
        <w:t>）、</w:t>
      </w:r>
      <w:r>
        <w:rPr>
          <w:rFonts w:hint="eastAsia" w:ascii="仿宋" w:hAnsi="仿宋" w:eastAsia="仿宋" w:cs="仿宋"/>
          <w:color w:val="auto"/>
          <w:sz w:val="24"/>
          <w:szCs w:val="24"/>
          <w:highlight w:val="none"/>
          <w:shd w:val="clear" w:fill="FFFFFF"/>
        </w:rPr>
        <w:t>1名水电工</w:t>
      </w:r>
      <w:r>
        <w:rPr>
          <w:rFonts w:hint="eastAsia" w:ascii="仿宋" w:hAnsi="仿宋" w:eastAsia="仿宋" w:cs="仿宋"/>
          <w:color w:val="auto"/>
          <w:sz w:val="24"/>
          <w:szCs w:val="24"/>
          <w:highlight w:val="none"/>
          <w:shd w:val="clear" w:fill="FFFFFF"/>
          <w:lang w:eastAsia="zh-CN"/>
        </w:rPr>
        <w:t>（</w:t>
      </w:r>
      <w:r>
        <w:rPr>
          <w:rFonts w:hint="eastAsia" w:ascii="仿宋" w:hAnsi="仿宋" w:eastAsia="仿宋" w:cs="仿宋"/>
          <w:color w:val="auto"/>
          <w:sz w:val="24"/>
          <w:szCs w:val="24"/>
          <w:highlight w:val="none"/>
          <w:shd w:val="clear" w:fill="FFFFFF"/>
        </w:rPr>
        <w:t>负责项目相关设施设备的维修维护</w:t>
      </w:r>
      <w:r>
        <w:rPr>
          <w:rFonts w:hint="eastAsia" w:ascii="仿宋" w:hAnsi="仿宋" w:eastAsia="仿宋" w:cs="仿宋"/>
          <w:color w:val="auto"/>
          <w:sz w:val="24"/>
          <w:szCs w:val="24"/>
          <w:highlight w:val="none"/>
          <w:shd w:val="clear" w:fill="FFFFFF"/>
          <w:lang w:eastAsia="zh-CN"/>
        </w:rPr>
        <w:t>）</w:t>
      </w:r>
      <w:r>
        <w:rPr>
          <w:rFonts w:hint="eastAsia" w:ascii="仿宋" w:hAnsi="仿宋" w:eastAsia="仿宋" w:cs="仿宋"/>
          <w:color w:val="auto"/>
          <w:sz w:val="24"/>
          <w:szCs w:val="24"/>
          <w:highlight w:val="none"/>
          <w:shd w:val="clear" w:fill="FFFFFF"/>
        </w:rPr>
        <w:t>。日常养护中标人必须保证</w:t>
      </w:r>
      <w:r>
        <w:rPr>
          <w:rFonts w:hint="eastAsia" w:ascii="仿宋" w:hAnsi="仿宋" w:eastAsia="仿宋" w:cs="仿宋"/>
          <w:color w:val="auto"/>
          <w:sz w:val="24"/>
          <w:szCs w:val="24"/>
          <w:highlight w:val="none"/>
          <w:shd w:val="clear" w:fill="FFFFFF"/>
          <w:lang w:val="en-US" w:eastAsia="zh-CN"/>
        </w:rPr>
        <w:t>31</w:t>
      </w:r>
      <w:r>
        <w:rPr>
          <w:rFonts w:hint="eastAsia" w:ascii="仿宋" w:hAnsi="仿宋" w:eastAsia="仿宋" w:cs="仿宋"/>
          <w:color w:val="auto"/>
          <w:sz w:val="24"/>
          <w:szCs w:val="24"/>
          <w:highlight w:val="none"/>
          <w:shd w:val="clear" w:fill="FFFFFF"/>
        </w:rPr>
        <w:t>名作业人员每天到岗（</w:t>
      </w:r>
      <w:r>
        <w:rPr>
          <w:rFonts w:hint="eastAsia" w:ascii="仿宋" w:hAnsi="仿宋" w:eastAsia="仿宋" w:cs="仿宋"/>
          <w:color w:val="auto"/>
          <w:sz w:val="24"/>
          <w:szCs w:val="24"/>
          <w:shd w:val="clear" w:fill="FFFFFF"/>
        </w:rPr>
        <w:t>包括节日、双休日），工作时间为8小时/天。采购人</w:t>
      </w:r>
      <w:r>
        <w:rPr>
          <w:rFonts w:hint="eastAsia" w:ascii="仿宋" w:hAnsi="仿宋" w:eastAsia="仿宋" w:cs="仿宋"/>
          <w:i w:val="0"/>
          <w:iCs w:val="0"/>
          <w:color w:val="auto"/>
          <w:kern w:val="0"/>
          <w:sz w:val="24"/>
          <w:szCs w:val="24"/>
          <w:u w:val="none"/>
          <w:lang w:val="en-US" w:eastAsia="zh-CN" w:bidi="ar"/>
        </w:rPr>
        <w:t>每月对绿化养护人员到位情况进行考核，</w:t>
      </w:r>
      <w:r>
        <w:rPr>
          <w:rFonts w:hint="eastAsia" w:ascii="仿宋" w:hAnsi="仿宋" w:eastAsia="仿宋" w:cs="仿宋"/>
          <w:color w:val="auto"/>
          <w:sz w:val="24"/>
          <w:szCs w:val="24"/>
          <w:shd w:val="clear" w:fill="FFFFFF"/>
        </w:rPr>
        <w:t>如未按要求到岗，采购人有权视情况按500-2000元/人次进行扣款，并在当期考核周期中进行扣分。</w:t>
      </w:r>
    </w:p>
    <w:p>
      <w:pPr>
        <w:pStyle w:val="17"/>
        <w:keepNext w:val="0"/>
        <w:keepLines w:val="0"/>
        <w:pageBreakBefore w:val="0"/>
        <w:kinsoku/>
        <w:wordWrap/>
        <w:overflowPunct/>
        <w:topLinePunct w:val="0"/>
        <w:autoSpaceDE/>
        <w:autoSpaceDN/>
        <w:bidi w:val="0"/>
        <w:adjustRightInd/>
        <w:snapToGrid/>
        <w:spacing w:line="288" w:lineRule="auto"/>
        <w:ind w:firstLine="345"/>
        <w:rPr>
          <w:rFonts w:hint="eastAsia" w:ascii="仿宋" w:hAnsi="仿宋" w:eastAsia="仿宋" w:cs="仿宋"/>
          <w:color w:val="auto"/>
          <w:sz w:val="24"/>
          <w:szCs w:val="24"/>
          <w:highlight w:val="none"/>
          <w:shd w:val="clear" w:fill="FFFFFF"/>
          <w:lang w:eastAsia="zh-CN"/>
        </w:rPr>
      </w:pPr>
      <w:r>
        <w:rPr>
          <w:rFonts w:hint="eastAsia" w:ascii="仿宋" w:hAnsi="仿宋" w:eastAsia="仿宋" w:cs="仿宋"/>
          <w:color w:val="auto"/>
          <w:sz w:val="24"/>
          <w:szCs w:val="24"/>
        </w:rPr>
        <w:t>序号</w:t>
      </w:r>
      <w:r>
        <w:rPr>
          <w:rFonts w:hint="eastAsia" w:ascii="仿宋" w:hAnsi="仿宋" w:eastAsia="仿宋" w:cs="仿宋"/>
          <w:color w:val="auto"/>
          <w:sz w:val="24"/>
          <w:szCs w:val="24"/>
          <w:lang w:val="en-US" w:eastAsia="zh-CN"/>
        </w:rPr>
        <w:t>13</w:t>
      </w:r>
      <w:r>
        <w:rPr>
          <w:rFonts w:hint="eastAsia" w:ascii="仿宋" w:hAnsi="仿宋" w:eastAsia="仿宋" w:cs="仿宋"/>
          <w:color w:val="auto"/>
          <w:sz w:val="24"/>
          <w:szCs w:val="24"/>
        </w:rPr>
        <w:t>：</w:t>
      </w:r>
      <w:r>
        <w:rPr>
          <w:rFonts w:hint="eastAsia" w:ascii="仿宋" w:hAnsi="仿宋" w:eastAsia="仿宋" w:cs="仿宋"/>
          <w:color w:val="auto"/>
          <w:sz w:val="24"/>
          <w:szCs w:val="24"/>
          <w:shd w:val="clear" w:fill="FFFFFF"/>
        </w:rPr>
        <w:t>中标人需满足景观提升改造工程及氛围布置工作等采购人的各项需求，包括但不限于无人机操作、基础摄影、视频制作、方案设计、施工实施、效果优化等环节；同时，按需提供具备熟练操作CAD、PS等专业软件能力的设计人员、制图人员及后期处理人</w:t>
      </w:r>
      <w:r>
        <w:rPr>
          <w:rFonts w:hint="eastAsia" w:ascii="仿宋" w:hAnsi="仿宋" w:eastAsia="仿宋" w:cs="仿宋"/>
          <w:color w:val="auto"/>
          <w:sz w:val="24"/>
          <w:szCs w:val="24"/>
          <w:highlight w:val="none"/>
          <w:shd w:val="clear" w:fill="FFFFFF"/>
        </w:rPr>
        <w:t>员，以保障项目设计图纸绘制、效果图制作等工作完成，确保项目成果达到采购人预期标准</w:t>
      </w:r>
      <w:r>
        <w:rPr>
          <w:rFonts w:hint="eastAsia" w:ascii="仿宋" w:hAnsi="仿宋" w:eastAsia="仿宋" w:cs="仿宋"/>
          <w:color w:val="auto"/>
          <w:sz w:val="24"/>
          <w:szCs w:val="24"/>
          <w:highlight w:val="none"/>
          <w:shd w:val="clear" w:fill="FFFFFF"/>
          <w:lang w:eastAsia="zh-CN"/>
        </w:rPr>
        <w:t>。</w:t>
      </w:r>
    </w:p>
    <w:p>
      <w:pPr>
        <w:pStyle w:val="17"/>
        <w:keepNext w:val="0"/>
        <w:keepLines w:val="0"/>
        <w:pageBreakBefore w:val="0"/>
        <w:kinsoku/>
        <w:wordWrap/>
        <w:overflowPunct/>
        <w:topLinePunct w:val="0"/>
        <w:autoSpaceDE/>
        <w:autoSpaceDN/>
        <w:bidi w:val="0"/>
        <w:adjustRightInd/>
        <w:snapToGrid/>
        <w:spacing w:line="288" w:lineRule="auto"/>
        <w:ind w:firstLine="345"/>
        <w:rPr>
          <w:rFonts w:hint="eastAsia" w:ascii="仿宋" w:hAnsi="仿宋" w:eastAsia="仿宋" w:cs="仿宋"/>
          <w:b w:val="0"/>
          <w:color w:val="auto"/>
          <w:sz w:val="24"/>
          <w:szCs w:val="24"/>
          <w:highlight w:val="none"/>
          <w:shd w:val="clear" w:fill="FFFFFF"/>
        </w:rPr>
      </w:pPr>
      <w:r>
        <w:rPr>
          <w:rFonts w:hint="eastAsia" w:ascii="仿宋" w:hAnsi="仿宋" w:eastAsia="仿宋" w:cs="仿宋"/>
          <w:color w:val="auto"/>
          <w:sz w:val="24"/>
          <w:szCs w:val="24"/>
          <w:highlight w:val="none"/>
          <w:shd w:val="clear" w:fill="FFFFFF"/>
        </w:rPr>
        <w:t>序号1</w:t>
      </w:r>
      <w:r>
        <w:rPr>
          <w:rFonts w:hint="eastAsia" w:ascii="仿宋" w:hAnsi="仿宋" w:eastAsia="仿宋" w:cs="仿宋"/>
          <w:color w:val="auto"/>
          <w:sz w:val="24"/>
          <w:szCs w:val="24"/>
          <w:highlight w:val="none"/>
          <w:shd w:val="clear" w:fill="FFFFFF"/>
          <w:lang w:val="en-US" w:eastAsia="zh-CN"/>
        </w:rPr>
        <w:t>4</w:t>
      </w:r>
      <w:r>
        <w:rPr>
          <w:rFonts w:hint="eastAsia" w:ascii="仿宋" w:hAnsi="仿宋" w:eastAsia="仿宋" w:cs="仿宋"/>
          <w:color w:val="auto"/>
          <w:sz w:val="24"/>
          <w:szCs w:val="24"/>
          <w:highlight w:val="none"/>
          <w:shd w:val="clear" w:fill="FFFFFF"/>
        </w:rPr>
        <w:t>：项目负责人和技术负责人应为园林绿化</w:t>
      </w:r>
      <w:r>
        <w:rPr>
          <w:rFonts w:hint="eastAsia" w:ascii="仿宋" w:hAnsi="仿宋" w:eastAsia="仿宋" w:cs="仿宋"/>
          <w:color w:val="auto"/>
          <w:sz w:val="24"/>
          <w:szCs w:val="24"/>
          <w:highlight w:val="none"/>
          <w:shd w:val="clear" w:fill="FFFFFF"/>
          <w:lang w:val="en-US" w:eastAsia="zh-CN"/>
        </w:rPr>
        <w:t>相关专业</w:t>
      </w:r>
      <w:r>
        <w:rPr>
          <w:rFonts w:hint="eastAsia" w:ascii="仿宋" w:hAnsi="仿宋" w:eastAsia="仿宋" w:cs="仿宋"/>
          <w:color w:val="auto"/>
          <w:sz w:val="24"/>
          <w:szCs w:val="24"/>
          <w:highlight w:val="none"/>
          <w:shd w:val="clear" w:fill="FFFFFF"/>
        </w:rPr>
        <w:t>工程师</w:t>
      </w:r>
      <w:r>
        <w:rPr>
          <w:rFonts w:hint="eastAsia" w:ascii="仿宋" w:hAnsi="仿宋" w:eastAsia="仿宋" w:cs="仿宋"/>
          <w:color w:val="auto"/>
          <w:sz w:val="24"/>
          <w:szCs w:val="24"/>
          <w:highlight w:val="none"/>
          <w:shd w:val="clear" w:fill="FFFFFF"/>
          <w:lang w:eastAsia="zh-CN"/>
        </w:rPr>
        <w:t>，</w:t>
      </w:r>
      <w:r>
        <w:rPr>
          <w:rFonts w:hint="eastAsia" w:ascii="仿宋" w:hAnsi="仿宋" w:eastAsia="仿宋" w:cs="仿宋"/>
          <w:color w:val="auto"/>
          <w:sz w:val="24"/>
          <w:szCs w:val="24"/>
          <w:highlight w:val="none"/>
          <w:shd w:val="clear" w:fill="FFFFFF"/>
        </w:rPr>
        <w:t>现场管理员应为园林绿化</w:t>
      </w:r>
      <w:r>
        <w:rPr>
          <w:rFonts w:hint="eastAsia" w:ascii="仿宋" w:hAnsi="仿宋" w:eastAsia="仿宋" w:cs="仿宋"/>
          <w:color w:val="auto"/>
          <w:sz w:val="24"/>
          <w:szCs w:val="24"/>
          <w:highlight w:val="none"/>
          <w:shd w:val="clear" w:fill="FFFFFF"/>
          <w:lang w:val="en-US" w:eastAsia="zh-CN"/>
        </w:rPr>
        <w:t>相关专业助理</w:t>
      </w:r>
      <w:r>
        <w:rPr>
          <w:rFonts w:hint="eastAsia" w:ascii="仿宋" w:hAnsi="仿宋" w:eastAsia="仿宋" w:cs="仿宋"/>
          <w:color w:val="auto"/>
          <w:sz w:val="24"/>
          <w:szCs w:val="24"/>
          <w:highlight w:val="none"/>
          <w:shd w:val="clear" w:fill="FFFFFF"/>
        </w:rPr>
        <w:t>工程师</w:t>
      </w:r>
      <w:r>
        <w:rPr>
          <w:rFonts w:hint="eastAsia" w:ascii="仿宋" w:hAnsi="仿宋" w:eastAsia="仿宋" w:cs="仿宋"/>
          <w:b w:val="0"/>
          <w:color w:val="auto"/>
          <w:sz w:val="24"/>
          <w:szCs w:val="24"/>
          <w:highlight w:val="none"/>
          <w:shd w:val="clear" w:fill="FFFFFF"/>
        </w:rPr>
        <w:t>。</w:t>
      </w:r>
    </w:p>
    <w:p>
      <w:pPr>
        <w:pStyle w:val="17"/>
        <w:keepNext w:val="0"/>
        <w:keepLines w:val="0"/>
        <w:pageBreakBefore w:val="0"/>
        <w:kinsoku/>
        <w:wordWrap/>
        <w:overflowPunct/>
        <w:topLinePunct w:val="0"/>
        <w:autoSpaceDE/>
        <w:autoSpaceDN/>
        <w:bidi w:val="0"/>
        <w:adjustRightInd/>
        <w:snapToGrid/>
        <w:spacing w:line="288" w:lineRule="auto"/>
        <w:ind w:firstLine="345"/>
        <w:rPr>
          <w:rFonts w:hint="eastAsia" w:ascii="仿宋" w:hAnsi="仿宋" w:eastAsia="仿宋" w:cs="仿宋"/>
          <w:b w:val="0"/>
          <w:color w:val="auto"/>
          <w:sz w:val="24"/>
          <w:szCs w:val="24"/>
          <w:highlight w:val="none"/>
          <w:shd w:val="clear" w:fill="FFFFFF"/>
        </w:rPr>
      </w:pPr>
      <w:r>
        <w:rPr>
          <w:rFonts w:hint="eastAsia" w:ascii="仿宋" w:hAnsi="仿宋" w:eastAsia="仿宋" w:cs="仿宋"/>
          <w:color w:val="auto"/>
          <w:sz w:val="24"/>
          <w:szCs w:val="24"/>
          <w:highlight w:val="none"/>
          <w:shd w:val="clear" w:fill="FFFFFF"/>
        </w:rPr>
        <w:t>按《关于贯彻执行《园林绿化工程建设管理规定》的通知》（闽建办风景〔2018〕11号）的规定，园林绿化专业是指园林、园林施工、园林规划设计、园林植物、风景园林、园林绿化、园艺、景观、环境艺术、市政园林等专业。</w:t>
      </w:r>
    </w:p>
    <w:p>
      <w:pPr>
        <w:pStyle w:val="17"/>
        <w:keepNext w:val="0"/>
        <w:keepLines w:val="0"/>
        <w:pageBreakBefore w:val="0"/>
        <w:kinsoku/>
        <w:wordWrap/>
        <w:overflowPunct/>
        <w:topLinePunct w:val="0"/>
        <w:autoSpaceDE/>
        <w:autoSpaceDN/>
        <w:bidi w:val="0"/>
        <w:adjustRightInd/>
        <w:snapToGrid/>
        <w:spacing w:line="288" w:lineRule="auto"/>
        <w:ind w:firstLine="405"/>
        <w:rPr>
          <w:rFonts w:hint="eastAsia" w:ascii="仿宋" w:hAnsi="仿宋" w:eastAsia="仿宋" w:cs="仿宋"/>
          <w:color w:val="auto"/>
          <w:sz w:val="24"/>
          <w:szCs w:val="24"/>
        </w:rPr>
      </w:pPr>
      <w:r>
        <w:rPr>
          <w:rFonts w:hint="eastAsia" w:ascii="仿宋" w:hAnsi="仿宋" w:eastAsia="仿宋" w:cs="仿宋"/>
          <w:color w:val="auto"/>
          <w:sz w:val="24"/>
          <w:szCs w:val="24"/>
        </w:rPr>
        <w:t>序号</w:t>
      </w: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w:t>
      </w:r>
      <w:r>
        <w:rPr>
          <w:rFonts w:hint="eastAsia" w:ascii="仿宋" w:hAnsi="仿宋" w:eastAsia="仿宋" w:cs="仿宋"/>
          <w:color w:val="auto"/>
          <w:sz w:val="24"/>
          <w:szCs w:val="24"/>
          <w:shd w:val="clear" w:fill="FFFFFF"/>
        </w:rPr>
        <w:t>更换项目负责人、技术负责人和现场管理员必须征得采购人的同意，派驻时间达不到六个月的，采购人将按以下标准核减养护服务费：更换项目负责人或技术负责人核减10000元；更换现场管理员核减3000元。派驻人员需服从采购人的管理，如派驻人员不能配合采购人开展工作，或给采购人造成不良影响的，采购人有权要求更换派驻人员，且不减免人员更换的赔偿费用。</w:t>
      </w:r>
    </w:p>
    <w:p>
      <w:pPr>
        <w:pStyle w:val="17"/>
        <w:keepNext w:val="0"/>
        <w:keepLines w:val="0"/>
        <w:pageBreakBefore w:val="0"/>
        <w:kinsoku/>
        <w:wordWrap/>
        <w:overflowPunct/>
        <w:topLinePunct w:val="0"/>
        <w:autoSpaceDE/>
        <w:autoSpaceDN/>
        <w:bidi w:val="0"/>
        <w:adjustRightInd/>
        <w:snapToGrid/>
        <w:spacing w:line="288" w:lineRule="auto"/>
        <w:ind w:firstLine="405"/>
        <w:rPr>
          <w:rFonts w:hint="eastAsia" w:ascii="仿宋" w:hAnsi="仿宋" w:eastAsia="仿宋" w:cs="仿宋"/>
          <w:color w:val="auto"/>
          <w:sz w:val="24"/>
          <w:szCs w:val="24"/>
        </w:rPr>
      </w:pPr>
      <w:r>
        <w:rPr>
          <w:rFonts w:hint="eastAsia" w:ascii="仿宋" w:hAnsi="仿宋" w:eastAsia="仿宋" w:cs="仿宋"/>
          <w:color w:val="auto"/>
          <w:sz w:val="24"/>
          <w:szCs w:val="24"/>
        </w:rPr>
        <w:t>序号</w:t>
      </w:r>
      <w:r>
        <w:rPr>
          <w:rFonts w:hint="eastAsia" w:ascii="仿宋" w:hAnsi="仿宋" w:eastAsia="仿宋" w:cs="仿宋"/>
          <w:color w:val="auto"/>
          <w:sz w:val="24"/>
          <w:szCs w:val="24"/>
          <w:lang w:val="en-US" w:eastAsia="zh-CN"/>
        </w:rPr>
        <w:t>16</w:t>
      </w:r>
      <w:r>
        <w:rPr>
          <w:rFonts w:hint="eastAsia" w:ascii="仿宋" w:hAnsi="仿宋" w:eastAsia="仿宋" w:cs="仿宋"/>
          <w:color w:val="auto"/>
          <w:sz w:val="24"/>
          <w:szCs w:val="24"/>
        </w:rPr>
        <w:t>：</w:t>
      </w:r>
      <w:r>
        <w:rPr>
          <w:rFonts w:hint="eastAsia" w:ascii="仿宋" w:hAnsi="仿宋" w:eastAsia="仿宋" w:cs="仿宋"/>
          <w:color w:val="auto"/>
          <w:sz w:val="24"/>
          <w:szCs w:val="24"/>
          <w:shd w:val="clear" w:fill="FFFFFF"/>
        </w:rPr>
        <w:t>关于人员更换的事宜，均以书面通知或书面申请为准。</w:t>
      </w:r>
    </w:p>
    <w:p>
      <w:pPr>
        <w:pStyle w:val="17"/>
        <w:keepNext w:val="0"/>
        <w:keepLines w:val="0"/>
        <w:pageBreakBefore w:val="0"/>
        <w:kinsoku/>
        <w:wordWrap/>
        <w:overflowPunct/>
        <w:topLinePunct w:val="0"/>
        <w:autoSpaceDE/>
        <w:autoSpaceDN/>
        <w:bidi w:val="0"/>
        <w:adjustRightInd/>
        <w:snapToGrid/>
        <w:spacing w:line="288" w:lineRule="auto"/>
        <w:ind w:firstLine="345"/>
        <w:rPr>
          <w:rFonts w:hint="eastAsia" w:ascii="仿宋" w:hAnsi="仿宋" w:eastAsia="仿宋" w:cs="仿宋"/>
          <w:color w:val="auto"/>
          <w:sz w:val="24"/>
          <w:szCs w:val="24"/>
          <w:shd w:val="clear" w:fill="FFFFFF"/>
        </w:rPr>
      </w:pPr>
      <w:r>
        <w:rPr>
          <w:rFonts w:hint="eastAsia" w:ascii="仿宋" w:hAnsi="仿宋" w:eastAsia="仿宋" w:cs="仿宋"/>
          <w:color w:val="auto"/>
          <w:sz w:val="24"/>
          <w:szCs w:val="24"/>
        </w:rPr>
        <w:t>序号</w:t>
      </w: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w:t>
      </w:r>
      <w:r>
        <w:rPr>
          <w:rFonts w:hint="eastAsia" w:ascii="仿宋" w:hAnsi="仿宋" w:eastAsia="仿宋" w:cs="仿宋"/>
          <w:color w:val="auto"/>
          <w:sz w:val="24"/>
          <w:szCs w:val="24"/>
          <w:shd w:val="clear" w:fill="FFFFFF"/>
        </w:rPr>
        <w:t>中标人的员工公假、事假、病假以及所有假期劳动争议、纠纷均由中标人负责。中标人员工如有任何假期，中标人必须保证养护人员应满足状态，要及时派人补充。如遇任务繁重或特殊气候要求（强台风、特大暴雨等）需要突击性完成工作任务时，投标人应服从采购人有关人员指挥，并按采购人要求增加人力或延长工作时间以保证工作按质按量按时完成，费用另计。</w:t>
      </w:r>
    </w:p>
    <w:p>
      <w:pPr>
        <w:pStyle w:val="17"/>
        <w:keepNext w:val="0"/>
        <w:keepLines w:val="0"/>
        <w:pageBreakBefore w:val="0"/>
        <w:kinsoku/>
        <w:wordWrap/>
        <w:overflowPunct/>
        <w:topLinePunct w:val="0"/>
        <w:autoSpaceDE/>
        <w:autoSpaceDN/>
        <w:bidi w:val="0"/>
        <w:adjustRightInd/>
        <w:snapToGrid/>
        <w:spacing w:line="288" w:lineRule="auto"/>
        <w:ind w:firstLine="405"/>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r>
        <w:rPr>
          <w:rFonts w:hint="eastAsia" w:ascii="仿宋" w:hAnsi="仿宋" w:eastAsia="仿宋" w:cs="仿宋"/>
          <w:b/>
          <w:bCs/>
          <w:color w:val="auto"/>
          <w:sz w:val="24"/>
          <w:szCs w:val="24"/>
          <w:lang w:val="en-US" w:eastAsia="zh-CN"/>
        </w:rPr>
        <w:t>18</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shd w:val="clear" w:fill="FFFFFF"/>
        </w:rPr>
        <w:t>中标人在合同有效期内必须办理派驻人员的人身意外保险或雇主责任险，并提供相应资料供采购人查验。</w:t>
      </w:r>
      <w:r>
        <w:rPr>
          <w:rFonts w:hint="eastAsia" w:ascii="仿宋" w:hAnsi="仿宋" w:eastAsia="仿宋" w:cs="仿宋"/>
          <w:b/>
          <w:bCs/>
          <w:color w:val="auto"/>
          <w:sz w:val="24"/>
          <w:szCs w:val="24"/>
        </w:rPr>
        <w:t>投标人须提供承诺函，否则按无效投标处理。</w:t>
      </w:r>
    </w:p>
    <w:p>
      <w:pPr>
        <w:pStyle w:val="17"/>
        <w:keepNext w:val="0"/>
        <w:keepLines w:val="0"/>
        <w:pageBreakBefore w:val="0"/>
        <w:kinsoku/>
        <w:wordWrap/>
        <w:overflowPunct/>
        <w:topLinePunct w:val="0"/>
        <w:autoSpaceDE/>
        <w:autoSpaceDN/>
        <w:bidi w:val="0"/>
        <w:adjustRightInd/>
        <w:snapToGrid/>
        <w:spacing w:line="288" w:lineRule="auto"/>
        <w:ind w:firstLine="345"/>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r>
        <w:rPr>
          <w:rFonts w:hint="eastAsia" w:ascii="仿宋" w:hAnsi="仿宋" w:eastAsia="仿宋" w:cs="仿宋"/>
          <w:b/>
          <w:bCs/>
          <w:color w:val="auto"/>
          <w:sz w:val="24"/>
          <w:szCs w:val="24"/>
          <w:lang w:val="en-US" w:eastAsia="zh-CN"/>
        </w:rPr>
        <w:t>19</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shd w:val="clear" w:fill="FFFFFF"/>
        </w:rPr>
        <w:t>本次采购项目所配备的人员年龄不得高于国家法定退休年龄。员工工资每人每月不得低于福州市最低工资标准</w:t>
      </w:r>
      <w:r>
        <w:rPr>
          <w:rFonts w:hint="eastAsia" w:ascii="仿宋" w:hAnsi="仿宋" w:eastAsia="仿宋" w:cs="仿宋"/>
          <w:b/>
          <w:bCs/>
          <w:color w:val="auto"/>
          <w:sz w:val="24"/>
          <w:szCs w:val="24"/>
          <w:shd w:val="clear" w:fill="FFFFFF"/>
          <w:lang w:eastAsia="zh-CN"/>
        </w:rPr>
        <w:t>。</w:t>
      </w:r>
      <w:r>
        <w:rPr>
          <w:rFonts w:hint="eastAsia" w:ascii="仿宋" w:hAnsi="仿宋" w:eastAsia="仿宋" w:cs="仿宋"/>
          <w:b/>
          <w:bCs/>
          <w:color w:val="auto"/>
          <w:sz w:val="24"/>
          <w:szCs w:val="24"/>
        </w:rPr>
        <w:t>投标人须提供承诺函，否则按无效投标处理。</w:t>
      </w:r>
    </w:p>
    <w:p>
      <w:pPr>
        <w:pStyle w:val="17"/>
        <w:keepNext w:val="0"/>
        <w:keepLines w:val="0"/>
        <w:pageBreakBefore w:val="0"/>
        <w:kinsoku/>
        <w:wordWrap/>
        <w:overflowPunct/>
        <w:topLinePunct w:val="0"/>
        <w:autoSpaceDE/>
        <w:autoSpaceDN/>
        <w:bidi w:val="0"/>
        <w:adjustRightInd/>
        <w:snapToGrid/>
        <w:spacing w:line="288" w:lineRule="auto"/>
        <w:ind w:firstLine="405"/>
        <w:rPr>
          <w:rFonts w:hint="eastAsia" w:ascii="仿宋" w:hAnsi="仿宋" w:eastAsia="仿宋" w:cs="仿宋"/>
          <w:b/>
          <w:bCs/>
          <w:color w:val="auto"/>
          <w:sz w:val="24"/>
          <w:szCs w:val="24"/>
        </w:rPr>
      </w:pPr>
      <w:r>
        <w:rPr>
          <w:rFonts w:hint="eastAsia" w:ascii="仿宋" w:hAnsi="仿宋" w:eastAsia="仿宋" w:cs="仿宋"/>
          <w:b/>
          <w:bCs/>
          <w:color w:val="auto"/>
          <w:sz w:val="24"/>
          <w:szCs w:val="24"/>
          <w:shd w:val="clear" w:fill="FFFFFF"/>
        </w:rPr>
        <w:t>★</w:t>
      </w:r>
      <w:r>
        <w:rPr>
          <w:rFonts w:hint="eastAsia" w:ascii="仿宋" w:hAnsi="仿宋" w:eastAsia="仿宋" w:cs="仿宋"/>
          <w:b/>
          <w:bCs/>
          <w:color w:val="auto"/>
          <w:sz w:val="24"/>
          <w:szCs w:val="24"/>
        </w:rPr>
        <w:t>序号</w:t>
      </w:r>
      <w:r>
        <w:rPr>
          <w:rFonts w:hint="eastAsia" w:ascii="仿宋" w:hAnsi="仿宋" w:eastAsia="仿宋" w:cs="仿宋"/>
          <w:b/>
          <w:bCs/>
          <w:color w:val="auto"/>
          <w:sz w:val="24"/>
          <w:szCs w:val="24"/>
          <w:lang w:val="en-US" w:eastAsia="zh-CN"/>
        </w:rPr>
        <w:t>20</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shd w:val="clear" w:fill="FFFFFF"/>
        </w:rPr>
        <w:t>服务费未到中标人账户时也必须确保按时发放员工工资。</w:t>
      </w:r>
      <w:r>
        <w:rPr>
          <w:rFonts w:hint="eastAsia" w:ascii="仿宋" w:hAnsi="仿宋" w:eastAsia="仿宋" w:cs="仿宋"/>
          <w:b/>
          <w:bCs/>
          <w:color w:val="auto"/>
          <w:sz w:val="24"/>
          <w:szCs w:val="24"/>
        </w:rPr>
        <w:t>投标人须提供承诺函，否则按无效投标处理。</w:t>
      </w:r>
    </w:p>
    <w:p>
      <w:pPr>
        <w:pStyle w:val="17"/>
        <w:keepNext w:val="0"/>
        <w:keepLines w:val="0"/>
        <w:pageBreakBefore w:val="0"/>
        <w:kinsoku/>
        <w:wordWrap/>
        <w:overflowPunct/>
        <w:topLinePunct w:val="0"/>
        <w:autoSpaceDE/>
        <w:autoSpaceDN/>
        <w:bidi w:val="0"/>
        <w:adjustRightInd/>
        <w:snapToGrid/>
        <w:spacing w:line="288" w:lineRule="auto"/>
        <w:ind w:firstLine="480" w:firstLineChars="200"/>
        <w:rPr>
          <w:rFonts w:hint="eastAsia" w:ascii="仿宋" w:hAnsi="仿宋" w:eastAsia="仿宋" w:cs="仿宋"/>
          <w:color w:val="auto"/>
          <w:sz w:val="24"/>
          <w:szCs w:val="24"/>
        </w:rPr>
      </w:pPr>
      <w:r>
        <w:rPr>
          <w:rFonts w:hint="eastAsia" w:ascii="仿宋" w:hAnsi="仿宋" w:eastAsia="仿宋" w:cs="仿宋"/>
          <w:b w:val="0"/>
          <w:bCs w:val="0"/>
          <w:color w:val="auto"/>
          <w:sz w:val="24"/>
          <w:szCs w:val="24"/>
          <w:shd w:val="clear" w:fill="FFFFFF"/>
        </w:rPr>
        <w:t>（</w:t>
      </w:r>
      <w:r>
        <w:rPr>
          <w:rFonts w:hint="eastAsia" w:ascii="仿宋" w:hAnsi="仿宋" w:eastAsia="仿宋" w:cs="仿宋"/>
          <w:b w:val="0"/>
          <w:bCs w:val="0"/>
          <w:color w:val="auto"/>
          <w:sz w:val="24"/>
          <w:szCs w:val="24"/>
          <w:shd w:val="clear" w:fill="FFFFFF"/>
          <w:lang w:val="en-US" w:eastAsia="zh-CN"/>
        </w:rPr>
        <w:t>四</w:t>
      </w:r>
      <w:r>
        <w:rPr>
          <w:rFonts w:hint="eastAsia" w:ascii="仿宋" w:hAnsi="仿宋" w:eastAsia="仿宋" w:cs="仿宋"/>
          <w:b w:val="0"/>
          <w:bCs w:val="0"/>
          <w:color w:val="auto"/>
          <w:sz w:val="24"/>
          <w:szCs w:val="24"/>
          <w:shd w:val="clear" w:fill="FFFFFF"/>
        </w:rPr>
        <w:t>）对工具物料的要求</w:t>
      </w:r>
    </w:p>
    <w:p>
      <w:pPr>
        <w:pStyle w:val="17"/>
        <w:keepNext w:val="0"/>
        <w:keepLines w:val="0"/>
        <w:pageBreakBefore w:val="0"/>
        <w:kinsoku/>
        <w:wordWrap/>
        <w:overflowPunct/>
        <w:topLinePunct w:val="0"/>
        <w:autoSpaceDE/>
        <w:autoSpaceDN/>
        <w:bidi w:val="0"/>
        <w:adjustRightInd/>
        <w:snapToGrid/>
        <w:spacing w:line="288"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序号</w:t>
      </w:r>
      <w:r>
        <w:rPr>
          <w:rFonts w:hint="eastAsia" w:ascii="仿宋" w:hAnsi="仿宋" w:eastAsia="仿宋" w:cs="仿宋"/>
          <w:color w:val="auto"/>
          <w:sz w:val="24"/>
          <w:szCs w:val="24"/>
          <w:lang w:val="en-US" w:eastAsia="zh-CN"/>
        </w:rPr>
        <w:t>21</w:t>
      </w:r>
      <w:r>
        <w:rPr>
          <w:rFonts w:hint="eastAsia" w:ascii="仿宋" w:hAnsi="仿宋" w:eastAsia="仿宋" w:cs="仿宋"/>
          <w:color w:val="auto"/>
          <w:sz w:val="24"/>
          <w:szCs w:val="24"/>
        </w:rPr>
        <w:t>：中标人必须按采购人的要求在现场存放一定品种、数量和完好能正常使用的工具、机械，</w:t>
      </w:r>
      <w:r>
        <w:rPr>
          <w:rFonts w:hint="eastAsia" w:ascii="仿宋" w:hAnsi="仿宋" w:eastAsia="仿宋" w:cs="仿宋"/>
          <w:color w:val="auto"/>
          <w:sz w:val="24"/>
          <w:szCs w:val="24"/>
          <w:shd w:val="clear" w:fill="FFFFFF"/>
        </w:rPr>
        <w:t>包括背负式割草机</w:t>
      </w:r>
      <w:r>
        <w:rPr>
          <w:rFonts w:hint="eastAsia" w:ascii="仿宋" w:hAnsi="仿宋" w:eastAsia="仿宋" w:cs="仿宋"/>
          <w:color w:val="auto"/>
          <w:sz w:val="24"/>
          <w:szCs w:val="24"/>
          <w:u w:val="single"/>
          <w:shd w:val="clear" w:fill="FFFFFF"/>
        </w:rPr>
        <w:t xml:space="preserve"> 10</w:t>
      </w:r>
      <w:r>
        <w:rPr>
          <w:rFonts w:hint="eastAsia" w:ascii="仿宋" w:hAnsi="仿宋" w:eastAsia="仿宋" w:cs="仿宋"/>
          <w:color w:val="auto"/>
          <w:sz w:val="24"/>
          <w:szCs w:val="24"/>
          <w:shd w:val="clear" w:fill="FFFFFF"/>
        </w:rPr>
        <w:t>台、草坪吹风机</w:t>
      </w:r>
      <w:r>
        <w:rPr>
          <w:rFonts w:hint="eastAsia" w:ascii="仿宋" w:hAnsi="仿宋" w:eastAsia="仿宋" w:cs="仿宋"/>
          <w:color w:val="auto"/>
          <w:sz w:val="24"/>
          <w:szCs w:val="24"/>
          <w:u w:val="single"/>
          <w:shd w:val="clear" w:fill="FFFFFF"/>
        </w:rPr>
        <w:t>3</w:t>
      </w:r>
      <w:r>
        <w:rPr>
          <w:rFonts w:hint="eastAsia" w:ascii="仿宋" w:hAnsi="仿宋" w:eastAsia="仿宋" w:cs="仿宋"/>
          <w:color w:val="auto"/>
          <w:sz w:val="24"/>
          <w:szCs w:val="24"/>
          <w:shd w:val="clear" w:fill="FFFFFF"/>
        </w:rPr>
        <w:t>台、绿篱机</w:t>
      </w:r>
      <w:r>
        <w:rPr>
          <w:rFonts w:hint="eastAsia" w:ascii="仿宋" w:hAnsi="仿宋" w:eastAsia="仿宋" w:cs="仿宋"/>
          <w:color w:val="auto"/>
          <w:sz w:val="24"/>
          <w:szCs w:val="24"/>
          <w:u w:val="single"/>
          <w:shd w:val="clear" w:fill="FFFFFF"/>
        </w:rPr>
        <w:t xml:space="preserve"> 5 </w:t>
      </w:r>
      <w:r>
        <w:rPr>
          <w:rFonts w:hint="eastAsia" w:ascii="仿宋" w:hAnsi="仿宋" w:eastAsia="仿宋" w:cs="仿宋"/>
          <w:color w:val="auto"/>
          <w:sz w:val="24"/>
          <w:szCs w:val="24"/>
          <w:shd w:val="clear" w:fill="FFFFFF"/>
        </w:rPr>
        <w:t>台、手推式高压喷药车</w:t>
      </w:r>
      <w:r>
        <w:rPr>
          <w:rFonts w:hint="eastAsia" w:ascii="仿宋" w:hAnsi="仿宋" w:eastAsia="仿宋" w:cs="仿宋"/>
          <w:color w:val="auto"/>
          <w:sz w:val="24"/>
          <w:szCs w:val="24"/>
          <w:u w:val="single"/>
          <w:shd w:val="clear" w:fill="FFFFFF"/>
        </w:rPr>
        <w:t>1</w:t>
      </w:r>
      <w:r>
        <w:rPr>
          <w:rFonts w:hint="eastAsia" w:ascii="仿宋" w:hAnsi="仿宋" w:eastAsia="仿宋" w:cs="仿宋"/>
          <w:color w:val="auto"/>
          <w:sz w:val="24"/>
          <w:szCs w:val="24"/>
          <w:shd w:val="clear" w:fill="FFFFFF"/>
        </w:rPr>
        <w:t>台、大油锯</w:t>
      </w:r>
      <w:r>
        <w:rPr>
          <w:rFonts w:hint="eastAsia" w:ascii="仿宋" w:hAnsi="仿宋" w:eastAsia="仿宋" w:cs="仿宋"/>
          <w:color w:val="auto"/>
          <w:sz w:val="24"/>
          <w:szCs w:val="24"/>
          <w:u w:val="single"/>
          <w:shd w:val="clear" w:fill="FFFFFF"/>
        </w:rPr>
        <w:t>3</w:t>
      </w:r>
      <w:r>
        <w:rPr>
          <w:rFonts w:hint="eastAsia" w:ascii="仿宋" w:hAnsi="仿宋" w:eastAsia="仿宋" w:cs="仿宋"/>
          <w:color w:val="auto"/>
          <w:sz w:val="24"/>
          <w:szCs w:val="24"/>
          <w:shd w:val="clear" w:fill="FFFFFF"/>
        </w:rPr>
        <w:t>把、小油锯</w:t>
      </w:r>
      <w:r>
        <w:rPr>
          <w:rFonts w:hint="eastAsia" w:ascii="仿宋" w:hAnsi="仿宋" w:eastAsia="仿宋" w:cs="仿宋"/>
          <w:color w:val="auto"/>
          <w:sz w:val="24"/>
          <w:szCs w:val="24"/>
          <w:u w:val="single"/>
          <w:shd w:val="clear" w:fill="FFFFFF"/>
        </w:rPr>
        <w:t>4</w:t>
      </w:r>
      <w:r>
        <w:rPr>
          <w:rFonts w:hint="eastAsia" w:ascii="仿宋" w:hAnsi="仿宋" w:eastAsia="仿宋" w:cs="仿宋"/>
          <w:color w:val="auto"/>
          <w:sz w:val="24"/>
          <w:szCs w:val="24"/>
          <w:shd w:val="clear" w:fill="FFFFFF"/>
        </w:rPr>
        <w:t>把、高枝油锯</w:t>
      </w:r>
      <w:r>
        <w:rPr>
          <w:rFonts w:hint="eastAsia" w:ascii="仿宋" w:hAnsi="仿宋" w:eastAsia="仿宋" w:cs="仿宋"/>
          <w:color w:val="auto"/>
          <w:sz w:val="24"/>
          <w:szCs w:val="24"/>
          <w:u w:val="single"/>
          <w:shd w:val="clear" w:fill="FFFFFF"/>
        </w:rPr>
        <w:t>2</w:t>
      </w:r>
      <w:r>
        <w:rPr>
          <w:rFonts w:hint="eastAsia" w:ascii="仿宋" w:hAnsi="仿宋" w:eastAsia="仿宋" w:cs="仿宋"/>
          <w:color w:val="auto"/>
          <w:sz w:val="24"/>
          <w:szCs w:val="24"/>
          <w:shd w:val="clear" w:fill="FFFFFF"/>
        </w:rPr>
        <w:t>把、抽水泵</w:t>
      </w:r>
      <w:r>
        <w:rPr>
          <w:rFonts w:hint="eastAsia" w:ascii="仿宋" w:hAnsi="仿宋" w:eastAsia="仿宋" w:cs="仿宋"/>
          <w:color w:val="auto"/>
          <w:sz w:val="24"/>
          <w:szCs w:val="24"/>
          <w:u w:val="single"/>
          <w:shd w:val="clear" w:fill="FFFFFF"/>
        </w:rPr>
        <w:t>4台</w:t>
      </w:r>
      <w:r>
        <w:rPr>
          <w:rFonts w:hint="eastAsia" w:ascii="仿宋" w:hAnsi="仿宋" w:eastAsia="仿宋" w:cs="仿宋"/>
          <w:color w:val="auto"/>
          <w:sz w:val="24"/>
          <w:szCs w:val="24"/>
          <w:shd w:val="clear" w:fill="FFFFFF"/>
        </w:rPr>
        <w:t>、树枝粉碎机</w:t>
      </w:r>
      <w:r>
        <w:rPr>
          <w:rFonts w:hint="eastAsia" w:ascii="仿宋" w:hAnsi="仿宋" w:eastAsia="仿宋" w:cs="仿宋"/>
          <w:color w:val="auto"/>
          <w:sz w:val="24"/>
          <w:szCs w:val="24"/>
          <w:u w:val="single"/>
          <w:shd w:val="clear" w:fill="FFFFFF"/>
        </w:rPr>
        <w:t>2</w:t>
      </w:r>
      <w:r>
        <w:rPr>
          <w:rFonts w:hint="eastAsia" w:ascii="仿宋" w:hAnsi="仿宋" w:eastAsia="仿宋" w:cs="仿宋"/>
          <w:color w:val="auto"/>
          <w:sz w:val="24"/>
          <w:szCs w:val="24"/>
          <w:shd w:val="clear" w:fill="FFFFFF"/>
        </w:rPr>
        <w:t>台、厢式货车（核定载质量≥2.5T）</w:t>
      </w:r>
      <w:r>
        <w:rPr>
          <w:rFonts w:hint="eastAsia" w:ascii="仿宋" w:hAnsi="仿宋" w:eastAsia="仿宋" w:cs="仿宋"/>
          <w:color w:val="auto"/>
          <w:sz w:val="24"/>
          <w:szCs w:val="24"/>
          <w:u w:val="single"/>
          <w:shd w:val="clear" w:fill="FFFFFF"/>
        </w:rPr>
        <w:t xml:space="preserve"> 1 </w:t>
      </w:r>
      <w:r>
        <w:rPr>
          <w:rFonts w:hint="eastAsia" w:ascii="仿宋" w:hAnsi="仿宋" w:eastAsia="仿宋" w:cs="仿宋"/>
          <w:color w:val="auto"/>
          <w:sz w:val="24"/>
          <w:szCs w:val="24"/>
          <w:shd w:val="clear" w:fill="FFFFFF"/>
        </w:rPr>
        <w:t>辆、工具车</w:t>
      </w:r>
      <w:r>
        <w:rPr>
          <w:rFonts w:hint="eastAsia" w:ascii="仿宋" w:hAnsi="仿宋" w:eastAsia="仿宋" w:cs="仿宋"/>
          <w:color w:val="auto"/>
          <w:sz w:val="24"/>
          <w:szCs w:val="24"/>
          <w:u w:val="single"/>
          <w:shd w:val="clear" w:fill="FFFFFF"/>
        </w:rPr>
        <w:t>2</w:t>
      </w:r>
      <w:r>
        <w:rPr>
          <w:rFonts w:hint="eastAsia" w:ascii="仿宋" w:hAnsi="仿宋" w:eastAsia="仿宋" w:cs="仿宋"/>
          <w:color w:val="auto"/>
          <w:sz w:val="24"/>
          <w:szCs w:val="24"/>
          <w:shd w:val="clear" w:fill="FFFFFF"/>
        </w:rPr>
        <w:t>辆及以上、洒水车（核定载质量≥5T）</w:t>
      </w:r>
      <w:r>
        <w:rPr>
          <w:rFonts w:hint="eastAsia" w:ascii="仿宋" w:hAnsi="仿宋" w:eastAsia="仿宋" w:cs="仿宋"/>
          <w:color w:val="auto"/>
          <w:sz w:val="24"/>
          <w:szCs w:val="24"/>
          <w:u w:val="single"/>
          <w:shd w:val="clear" w:fill="FFFFFF"/>
        </w:rPr>
        <w:t xml:space="preserve"> 1 </w:t>
      </w:r>
      <w:r>
        <w:rPr>
          <w:rFonts w:hint="eastAsia" w:ascii="仿宋" w:hAnsi="仿宋" w:eastAsia="仿宋" w:cs="仿宋"/>
          <w:color w:val="auto"/>
          <w:sz w:val="24"/>
          <w:szCs w:val="24"/>
          <w:shd w:val="clear" w:fill="FFFFFF"/>
        </w:rPr>
        <w:t>辆、吊车</w:t>
      </w:r>
      <w:r>
        <w:rPr>
          <w:rFonts w:hint="eastAsia" w:ascii="仿宋" w:hAnsi="仿宋" w:eastAsia="仿宋" w:cs="仿宋"/>
          <w:color w:val="auto"/>
          <w:sz w:val="24"/>
          <w:szCs w:val="24"/>
          <w:u w:val="single"/>
          <w:shd w:val="clear" w:fill="FFFFFF"/>
        </w:rPr>
        <w:t xml:space="preserve">_1 </w:t>
      </w:r>
      <w:r>
        <w:rPr>
          <w:rFonts w:hint="eastAsia" w:ascii="仿宋" w:hAnsi="仿宋" w:eastAsia="仿宋" w:cs="仿宋"/>
          <w:color w:val="auto"/>
          <w:sz w:val="24"/>
          <w:szCs w:val="24"/>
          <w:shd w:val="clear" w:fill="FFFFFF"/>
        </w:rPr>
        <w:t>辆、</w:t>
      </w:r>
      <w:r>
        <w:rPr>
          <w:rFonts w:hint="eastAsia" w:ascii="仿宋" w:hAnsi="仿宋" w:eastAsia="仿宋" w:cs="仿宋"/>
          <w:color w:val="auto"/>
          <w:sz w:val="24"/>
          <w:szCs w:val="24"/>
        </w:rPr>
        <w:t>高空修剪车</w:t>
      </w:r>
      <w:r>
        <w:rPr>
          <w:rFonts w:hint="eastAsia" w:ascii="仿宋" w:hAnsi="仿宋" w:eastAsia="仿宋" w:cs="仿宋"/>
          <w:color w:val="auto"/>
          <w:sz w:val="24"/>
          <w:szCs w:val="24"/>
          <w:u w:val="single"/>
          <w:shd w:val="clear" w:fill="FFFFFF"/>
        </w:rPr>
        <w:t xml:space="preserve"> 1 </w:t>
      </w:r>
      <w:r>
        <w:rPr>
          <w:rFonts w:hint="eastAsia" w:ascii="仿宋" w:hAnsi="仿宋" w:eastAsia="仿宋" w:cs="仿宋"/>
          <w:color w:val="auto"/>
          <w:sz w:val="24"/>
          <w:szCs w:val="24"/>
          <w:shd w:val="clear" w:fill="FFFFFF"/>
        </w:rPr>
        <w:t>辆、垃圾清运车（核定载质量≥5T）</w:t>
      </w:r>
      <w:r>
        <w:rPr>
          <w:rFonts w:hint="eastAsia" w:ascii="仿宋" w:hAnsi="仿宋" w:eastAsia="仿宋" w:cs="仿宋"/>
          <w:color w:val="auto"/>
          <w:sz w:val="24"/>
          <w:szCs w:val="24"/>
          <w:u w:val="single"/>
          <w:shd w:val="clear" w:fill="FFFFFF"/>
        </w:rPr>
        <w:t xml:space="preserve"> 1 </w:t>
      </w:r>
      <w:r>
        <w:rPr>
          <w:rFonts w:hint="eastAsia" w:ascii="仿宋" w:hAnsi="仿宋" w:eastAsia="仿宋" w:cs="仿宋"/>
          <w:color w:val="auto"/>
          <w:sz w:val="24"/>
          <w:szCs w:val="24"/>
          <w:shd w:val="clear" w:fill="FFFFFF"/>
        </w:rPr>
        <w:t>辆、两轮电动车</w:t>
      </w:r>
      <w:r>
        <w:rPr>
          <w:rFonts w:hint="eastAsia" w:ascii="仿宋" w:hAnsi="仿宋" w:eastAsia="仿宋" w:cs="仿宋"/>
          <w:color w:val="auto"/>
          <w:sz w:val="24"/>
          <w:szCs w:val="24"/>
          <w:shd w:val="clear" w:fill="FFFFFF"/>
          <w:lang w:val="en-US" w:eastAsia="zh-CN"/>
        </w:rPr>
        <w:t xml:space="preserve"> 1</w:t>
      </w:r>
      <w:r>
        <w:rPr>
          <w:rFonts w:hint="eastAsia" w:ascii="仿宋" w:hAnsi="仿宋" w:eastAsia="仿宋" w:cs="仿宋"/>
          <w:color w:val="auto"/>
          <w:sz w:val="24"/>
          <w:szCs w:val="24"/>
          <w:u w:val="single"/>
          <w:shd w:val="clear" w:fill="FFFFFF"/>
          <w:lang w:val="en-US" w:eastAsia="zh-CN"/>
        </w:rPr>
        <w:t xml:space="preserve">  </w:t>
      </w:r>
      <w:r>
        <w:rPr>
          <w:rFonts w:hint="eastAsia" w:ascii="仿宋" w:hAnsi="仿宋" w:eastAsia="仿宋" w:cs="仿宋"/>
          <w:color w:val="auto"/>
          <w:sz w:val="24"/>
          <w:szCs w:val="24"/>
          <w:shd w:val="clear" w:fill="FFFFFF"/>
        </w:rPr>
        <w:t>辆等工作需的各种工具和物料，以保证管理工作的顺利开展，并不得挪用于其他地方使用。</w:t>
      </w:r>
    </w:p>
    <w:p>
      <w:pPr>
        <w:pStyle w:val="17"/>
        <w:keepNext w:val="0"/>
        <w:keepLines w:val="0"/>
        <w:pageBreakBefore w:val="0"/>
        <w:kinsoku/>
        <w:wordWrap/>
        <w:overflowPunct/>
        <w:topLinePunct w:val="0"/>
        <w:autoSpaceDE/>
        <w:autoSpaceDN/>
        <w:bidi w:val="0"/>
        <w:adjustRightInd/>
        <w:snapToGrid/>
        <w:spacing w:line="288" w:lineRule="auto"/>
        <w:ind w:firstLine="405"/>
        <w:rPr>
          <w:rFonts w:hint="eastAsia" w:ascii="仿宋" w:hAnsi="仿宋" w:eastAsia="仿宋" w:cs="仿宋"/>
          <w:color w:val="auto"/>
          <w:sz w:val="24"/>
          <w:szCs w:val="24"/>
        </w:rPr>
      </w:pPr>
      <w:r>
        <w:rPr>
          <w:rFonts w:hint="eastAsia" w:ascii="仿宋" w:hAnsi="仿宋" w:eastAsia="仿宋" w:cs="仿宋"/>
          <w:color w:val="auto"/>
          <w:sz w:val="24"/>
          <w:szCs w:val="24"/>
        </w:rPr>
        <w:t>物料、工具、器械、养护车辆的堆放场地由采购人负责，保管工作由中标人负责，如有遗失或因管理不当造成的损失和赔偿均有中标人承担。</w:t>
      </w:r>
    </w:p>
    <w:p>
      <w:pPr>
        <w:pStyle w:val="17"/>
        <w:keepNext w:val="0"/>
        <w:keepLines w:val="0"/>
        <w:pageBreakBefore w:val="0"/>
        <w:kinsoku/>
        <w:wordWrap/>
        <w:overflowPunct/>
        <w:topLinePunct w:val="0"/>
        <w:autoSpaceDE/>
        <w:autoSpaceDN/>
        <w:bidi w:val="0"/>
        <w:adjustRightInd/>
        <w:snapToGrid/>
        <w:spacing w:line="288"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shd w:val="clear" w:fill="FFFFFF"/>
        </w:rPr>
        <w:t>以上设备签订合同之前由采购人检验后，双方签订合同。</w:t>
      </w:r>
    </w:p>
    <w:p>
      <w:pPr>
        <w:pStyle w:val="17"/>
        <w:keepNext w:val="0"/>
        <w:keepLines w:val="0"/>
        <w:pageBreakBefore w:val="0"/>
        <w:kinsoku/>
        <w:wordWrap/>
        <w:overflowPunct/>
        <w:topLinePunct w:val="0"/>
        <w:autoSpaceDE/>
        <w:autoSpaceDN/>
        <w:bidi w:val="0"/>
        <w:adjustRightInd/>
        <w:snapToGrid/>
        <w:spacing w:line="288" w:lineRule="auto"/>
        <w:ind w:firstLine="345"/>
        <w:rPr>
          <w:rFonts w:hint="eastAsia" w:ascii="仿宋" w:hAnsi="仿宋" w:eastAsia="仿宋" w:cs="仿宋"/>
          <w:b w:val="0"/>
          <w:bCs w:val="0"/>
          <w:color w:val="auto"/>
          <w:sz w:val="24"/>
          <w:szCs w:val="24"/>
          <w:lang w:eastAsia="zh-CN"/>
        </w:rPr>
      </w:pPr>
      <w:r>
        <w:rPr>
          <w:rFonts w:hint="eastAsia" w:ascii="仿宋" w:hAnsi="仿宋" w:eastAsia="仿宋" w:cs="仿宋"/>
          <w:color w:val="auto"/>
          <w:sz w:val="24"/>
          <w:szCs w:val="24"/>
        </w:rPr>
        <w:t xml:space="preserve"> </w:t>
      </w:r>
      <w:r>
        <w:rPr>
          <w:rFonts w:hint="eastAsia" w:ascii="仿宋" w:hAnsi="仿宋" w:eastAsia="仿宋" w:cs="仿宋"/>
          <w:b w:val="0"/>
          <w:bCs w:val="0"/>
          <w:color w:val="auto"/>
          <w:sz w:val="24"/>
          <w:szCs w:val="24"/>
          <w:shd w:val="clear" w:fill="FFFFFF"/>
        </w:rPr>
        <w:t>（</w:t>
      </w:r>
      <w:r>
        <w:rPr>
          <w:rFonts w:hint="eastAsia" w:ascii="仿宋" w:hAnsi="仿宋" w:eastAsia="仿宋" w:cs="仿宋"/>
          <w:b w:val="0"/>
          <w:bCs w:val="0"/>
          <w:color w:val="auto"/>
          <w:sz w:val="24"/>
          <w:szCs w:val="24"/>
          <w:shd w:val="clear" w:fill="FFFFFF"/>
          <w:lang w:val="en-US" w:eastAsia="zh-CN"/>
        </w:rPr>
        <w:t>五</w:t>
      </w:r>
      <w:r>
        <w:rPr>
          <w:rFonts w:hint="eastAsia" w:ascii="仿宋" w:hAnsi="仿宋" w:eastAsia="仿宋" w:cs="仿宋"/>
          <w:b w:val="0"/>
          <w:bCs w:val="0"/>
          <w:color w:val="auto"/>
          <w:sz w:val="24"/>
          <w:szCs w:val="24"/>
          <w:shd w:val="clear" w:fill="FFFFFF"/>
        </w:rPr>
        <w:t>）养护要求</w:t>
      </w:r>
    </w:p>
    <w:p>
      <w:pPr>
        <w:pStyle w:val="17"/>
        <w:keepNext w:val="0"/>
        <w:keepLines w:val="0"/>
        <w:pageBreakBefore w:val="0"/>
        <w:kinsoku/>
        <w:wordWrap/>
        <w:overflowPunct/>
        <w:topLinePunct w:val="0"/>
        <w:autoSpaceDE/>
        <w:autoSpaceDN/>
        <w:bidi w:val="0"/>
        <w:adjustRightInd/>
        <w:snapToGrid/>
        <w:spacing w:line="288" w:lineRule="auto"/>
        <w:ind w:firstLine="345"/>
        <w:rPr>
          <w:rFonts w:hint="eastAsia" w:ascii="仿宋" w:hAnsi="仿宋" w:eastAsia="仿宋" w:cs="仿宋"/>
          <w:color w:val="auto"/>
          <w:sz w:val="24"/>
          <w:szCs w:val="24"/>
          <w:shd w:val="clear" w:fill="auto"/>
        </w:rPr>
      </w:pPr>
      <w:r>
        <w:rPr>
          <w:rFonts w:hint="eastAsia" w:ascii="仿宋" w:hAnsi="仿宋" w:eastAsia="仿宋" w:cs="仿宋"/>
          <w:color w:val="auto"/>
          <w:sz w:val="24"/>
          <w:szCs w:val="24"/>
        </w:rPr>
        <w:t>序号</w:t>
      </w: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rPr>
        <w:t>：</w:t>
      </w:r>
      <w:r>
        <w:rPr>
          <w:rFonts w:hint="eastAsia" w:ascii="仿宋" w:hAnsi="仿宋" w:eastAsia="仿宋" w:cs="仿宋"/>
          <w:color w:val="auto"/>
          <w:sz w:val="24"/>
          <w:szCs w:val="24"/>
          <w:shd w:val="clear" w:fill="auto"/>
        </w:rPr>
        <w:t>按照福州市园林中心颁布的《福州市市管公园绿化分级养护质量考核办法（试行）》</w:t>
      </w:r>
      <w:r>
        <w:rPr>
          <w:rFonts w:hint="eastAsia" w:ascii="仿宋" w:hAnsi="仿宋" w:eastAsia="仿宋" w:cs="仿宋"/>
          <w:color w:val="auto"/>
          <w:sz w:val="24"/>
          <w:szCs w:val="24"/>
          <w:shd w:val="clear" w:fill="auto"/>
          <w:lang w:val="en-US" w:eastAsia="zh-CN"/>
        </w:rPr>
        <w:t>二</w:t>
      </w:r>
      <w:r>
        <w:rPr>
          <w:rFonts w:hint="eastAsia" w:ascii="仿宋" w:hAnsi="仿宋" w:eastAsia="仿宋" w:cs="仿宋"/>
          <w:color w:val="auto"/>
          <w:sz w:val="24"/>
          <w:szCs w:val="24"/>
          <w:shd w:val="clear" w:fill="auto"/>
        </w:rPr>
        <w:t>级养护质量标准、《</w:t>
      </w:r>
      <w:r>
        <w:rPr>
          <w:rFonts w:hint="eastAsia" w:ascii="仿宋" w:hAnsi="仿宋" w:eastAsia="仿宋" w:cs="仿宋"/>
          <w:b w:val="0"/>
          <w:bCs w:val="0"/>
          <w:color w:val="auto"/>
          <w:sz w:val="24"/>
          <w:szCs w:val="24"/>
        </w:rPr>
        <w:t>福州市乌龙江公园</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不含沙滩公园</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绿化养护质量标准及评分细则</w:t>
      </w:r>
      <w:r>
        <w:rPr>
          <w:rFonts w:hint="eastAsia" w:ascii="仿宋" w:hAnsi="仿宋" w:eastAsia="仿宋" w:cs="仿宋"/>
          <w:color w:val="auto"/>
          <w:sz w:val="24"/>
          <w:szCs w:val="24"/>
          <w:shd w:val="clear" w:fill="auto"/>
        </w:rPr>
        <w:t>》中的养护质量标准执行。开花植物（包括</w:t>
      </w:r>
      <w:r>
        <w:rPr>
          <w:rFonts w:hint="eastAsia" w:ascii="仿宋" w:hAnsi="仿宋" w:eastAsia="仿宋" w:cs="仿宋"/>
          <w:color w:val="auto"/>
          <w:sz w:val="24"/>
          <w:szCs w:val="24"/>
          <w:lang w:val="en-US" w:eastAsia="zh-CN"/>
        </w:rPr>
        <w:t>美丽异木棉</w:t>
      </w:r>
      <w:r>
        <w:rPr>
          <w:rFonts w:hint="eastAsia" w:ascii="仿宋" w:hAnsi="仿宋" w:eastAsia="仿宋" w:cs="仿宋"/>
          <w:color w:val="auto"/>
          <w:sz w:val="24"/>
          <w:szCs w:val="24"/>
        </w:rPr>
        <w:t>、蓝花楹、黄花风铃木、</w:t>
      </w:r>
      <w:r>
        <w:rPr>
          <w:rFonts w:hint="eastAsia" w:ascii="仿宋" w:hAnsi="仿宋" w:eastAsia="仿宋" w:cs="仿宋"/>
          <w:color w:val="auto"/>
          <w:sz w:val="24"/>
          <w:szCs w:val="24"/>
          <w:lang w:val="en-US" w:eastAsia="zh-CN"/>
        </w:rPr>
        <w:t>碧桃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三角梅</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小叶紫薇等）</w:t>
      </w:r>
      <w:r>
        <w:rPr>
          <w:rFonts w:hint="eastAsia" w:ascii="仿宋" w:hAnsi="仿宋" w:eastAsia="仿宋" w:cs="仿宋"/>
          <w:color w:val="auto"/>
          <w:sz w:val="24"/>
          <w:szCs w:val="24"/>
          <w:shd w:val="clear" w:fill="auto"/>
        </w:rPr>
        <w:t>植株生长健壮、茎干粗壮、花型美观、花色鲜艳、花期整齐、景观效果良好。</w:t>
      </w:r>
    </w:p>
    <w:p>
      <w:pPr>
        <w:pStyle w:val="17"/>
        <w:keepNext w:val="0"/>
        <w:keepLines w:val="0"/>
        <w:pageBreakBefore w:val="0"/>
        <w:kinsoku/>
        <w:wordWrap/>
        <w:overflowPunct/>
        <w:topLinePunct w:val="0"/>
        <w:autoSpaceDE/>
        <w:autoSpaceDN/>
        <w:bidi w:val="0"/>
        <w:adjustRightInd/>
        <w:snapToGrid/>
        <w:spacing w:line="288" w:lineRule="auto"/>
        <w:ind w:firstLine="405"/>
        <w:rPr>
          <w:rFonts w:hint="eastAsia" w:ascii="仿宋" w:hAnsi="仿宋" w:eastAsia="仿宋" w:cs="仿宋"/>
          <w:color w:val="auto"/>
          <w:sz w:val="24"/>
          <w:szCs w:val="24"/>
        </w:rPr>
      </w:pPr>
      <w:r>
        <w:rPr>
          <w:rFonts w:hint="eastAsia" w:ascii="仿宋" w:hAnsi="仿宋" w:eastAsia="仿宋" w:cs="仿宋"/>
          <w:color w:val="auto"/>
          <w:sz w:val="24"/>
          <w:szCs w:val="24"/>
        </w:rPr>
        <w:t>序号</w:t>
      </w:r>
      <w:r>
        <w:rPr>
          <w:rFonts w:hint="eastAsia" w:ascii="仿宋" w:hAnsi="仿宋" w:eastAsia="仿宋" w:cs="仿宋"/>
          <w:color w:val="auto"/>
          <w:sz w:val="24"/>
          <w:szCs w:val="24"/>
          <w:lang w:val="en-US" w:eastAsia="zh-CN"/>
        </w:rPr>
        <w:t>23</w:t>
      </w:r>
      <w:r>
        <w:rPr>
          <w:rFonts w:hint="eastAsia" w:ascii="仿宋" w:hAnsi="仿宋" w:eastAsia="仿宋" w:cs="仿宋"/>
          <w:color w:val="auto"/>
          <w:sz w:val="24"/>
          <w:szCs w:val="24"/>
        </w:rPr>
        <w:t>：</w:t>
      </w:r>
      <w:r>
        <w:rPr>
          <w:rFonts w:hint="eastAsia" w:ascii="仿宋" w:hAnsi="仿宋" w:eastAsia="仿宋" w:cs="仿宋"/>
          <w:color w:val="auto"/>
          <w:sz w:val="24"/>
          <w:szCs w:val="24"/>
          <w:shd w:val="clear" w:fill="FFFFFF"/>
        </w:rPr>
        <w:t>绿地整洁</w:t>
      </w:r>
      <w:r>
        <w:rPr>
          <w:rFonts w:hint="eastAsia" w:ascii="仿宋" w:hAnsi="仿宋" w:eastAsia="仿宋" w:cs="仿宋"/>
          <w:color w:val="auto"/>
          <w:sz w:val="24"/>
          <w:szCs w:val="24"/>
          <w:shd w:val="clear" w:fill="FFFFFF"/>
          <w:lang w:eastAsia="zh-CN"/>
        </w:rPr>
        <w:t>、</w:t>
      </w:r>
      <w:r>
        <w:rPr>
          <w:rFonts w:hint="eastAsia" w:ascii="仿宋" w:hAnsi="仿宋" w:eastAsia="仿宋" w:cs="仿宋"/>
          <w:color w:val="auto"/>
          <w:sz w:val="24"/>
          <w:szCs w:val="24"/>
          <w:shd w:val="clear" w:fill="FFFFFF"/>
        </w:rPr>
        <w:t>无杂物</w:t>
      </w:r>
      <w:r>
        <w:rPr>
          <w:rFonts w:hint="eastAsia" w:ascii="仿宋" w:hAnsi="仿宋" w:eastAsia="仿宋" w:cs="仿宋"/>
          <w:color w:val="auto"/>
          <w:sz w:val="24"/>
          <w:szCs w:val="24"/>
          <w:shd w:val="clear" w:fill="FFFFFF"/>
          <w:lang w:eastAsia="zh-CN"/>
        </w:rPr>
        <w:t>（</w:t>
      </w:r>
      <w:r>
        <w:rPr>
          <w:rFonts w:hint="eastAsia" w:ascii="仿宋" w:hAnsi="仿宋" w:eastAsia="仿宋" w:cs="仿宋"/>
          <w:color w:val="auto"/>
          <w:sz w:val="24"/>
          <w:szCs w:val="24"/>
          <w:shd w:val="clear" w:fill="FFFFFF"/>
          <w:lang w:val="en-US" w:eastAsia="zh-CN"/>
        </w:rPr>
        <w:t>包含不限于石块、落叶、枯枝、白色垃圾）</w:t>
      </w:r>
      <w:r>
        <w:rPr>
          <w:rFonts w:hint="eastAsia" w:ascii="仿宋" w:hAnsi="仿宋" w:eastAsia="仿宋" w:cs="仿宋"/>
          <w:color w:val="auto"/>
          <w:sz w:val="24"/>
          <w:szCs w:val="24"/>
          <w:shd w:val="clear" w:fill="FFFFFF"/>
        </w:rPr>
        <w:t>、无白色污染（树挂），对绿化生产垃圾（如树枝、树叶、草屑等）、绿地内杂物，重点地区随产随清，其它地区日产日清，做到巡视保洁。</w:t>
      </w:r>
    </w:p>
    <w:p>
      <w:pPr>
        <w:pStyle w:val="17"/>
        <w:keepNext w:val="0"/>
        <w:keepLines w:val="0"/>
        <w:pageBreakBefore w:val="0"/>
        <w:kinsoku/>
        <w:wordWrap/>
        <w:overflowPunct/>
        <w:topLinePunct w:val="0"/>
        <w:autoSpaceDE/>
        <w:autoSpaceDN/>
        <w:bidi w:val="0"/>
        <w:adjustRightInd/>
        <w:snapToGrid/>
        <w:spacing w:line="288"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序号</w:t>
      </w:r>
      <w:r>
        <w:rPr>
          <w:rFonts w:hint="eastAsia" w:ascii="仿宋" w:hAnsi="仿宋" w:eastAsia="仿宋" w:cs="仿宋"/>
          <w:color w:val="auto"/>
          <w:sz w:val="24"/>
          <w:szCs w:val="24"/>
          <w:lang w:val="en-US" w:eastAsia="zh-CN"/>
        </w:rPr>
        <w:t>24</w:t>
      </w:r>
      <w:r>
        <w:rPr>
          <w:rFonts w:hint="eastAsia" w:ascii="仿宋" w:hAnsi="仿宋" w:eastAsia="仿宋" w:cs="仿宋"/>
          <w:color w:val="auto"/>
          <w:sz w:val="24"/>
          <w:szCs w:val="24"/>
        </w:rPr>
        <w:t>：</w:t>
      </w:r>
      <w:r>
        <w:rPr>
          <w:rFonts w:hint="eastAsia" w:ascii="仿宋" w:hAnsi="仿宋" w:eastAsia="仿宋" w:cs="仿宋"/>
          <w:color w:val="auto"/>
          <w:sz w:val="24"/>
          <w:szCs w:val="24"/>
          <w:shd w:val="clear" w:fill="FFFFFF"/>
        </w:rPr>
        <w:t>禾本科植物（含竹丛、原生绿地（芦苇荡））管理要求，全年根据芦苇等植物的生长特点、立地环境，生长期根据景观效果要求进行适当修剪，园路及主入口两侧保证离50cm，修剪整齐，结合疏删枯死叶弱株，达到通风透光。</w:t>
      </w:r>
    </w:p>
    <w:p>
      <w:pPr>
        <w:pStyle w:val="17"/>
        <w:keepNext w:val="0"/>
        <w:keepLines w:val="0"/>
        <w:pageBreakBefore w:val="0"/>
        <w:kinsoku/>
        <w:wordWrap/>
        <w:overflowPunct/>
        <w:topLinePunct w:val="0"/>
        <w:autoSpaceDE/>
        <w:autoSpaceDN/>
        <w:bidi w:val="0"/>
        <w:adjustRightInd/>
        <w:snapToGrid/>
        <w:spacing w:line="288"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b/>
          <w:bCs/>
          <w:color w:val="auto"/>
          <w:sz w:val="24"/>
          <w:szCs w:val="24"/>
        </w:rPr>
        <w:t>序号</w:t>
      </w:r>
      <w:r>
        <w:rPr>
          <w:rFonts w:hint="eastAsia" w:ascii="仿宋" w:hAnsi="仿宋" w:eastAsia="仿宋" w:cs="仿宋"/>
          <w:b/>
          <w:bCs/>
          <w:color w:val="auto"/>
          <w:sz w:val="24"/>
          <w:szCs w:val="24"/>
          <w:lang w:val="en-US" w:eastAsia="zh-CN"/>
        </w:rPr>
        <w:t>25</w:t>
      </w:r>
      <w:r>
        <w:rPr>
          <w:rFonts w:hint="eastAsia" w:ascii="仿宋" w:hAnsi="仿宋" w:eastAsia="仿宋" w:cs="仿宋"/>
          <w:b/>
          <w:bCs/>
          <w:color w:val="auto"/>
          <w:sz w:val="24"/>
          <w:szCs w:val="24"/>
        </w:rPr>
        <w:t>：中标人应按照《福州市生活垃圾分类工作指引》（4-1，四，（五）自行投放至辖区规范的大件垃圾投放点集散点，或通过公众号、电话等方式预约福州市大件废弃物处置服务有限公司上门进行搬运、运输和处置）等相关要求做好大件（园林）垃圾处置工作。</w:t>
      </w:r>
    </w:p>
    <w:p>
      <w:pPr>
        <w:pStyle w:val="17"/>
        <w:keepNext w:val="0"/>
        <w:keepLines w:val="0"/>
        <w:pageBreakBefore w:val="0"/>
        <w:kinsoku/>
        <w:wordWrap/>
        <w:overflowPunct/>
        <w:topLinePunct w:val="0"/>
        <w:autoSpaceDE/>
        <w:autoSpaceDN/>
        <w:bidi w:val="0"/>
        <w:adjustRightInd/>
        <w:snapToGrid/>
        <w:spacing w:line="288" w:lineRule="auto"/>
        <w:jc w:val="both"/>
        <w:outlineLvl w:val="2"/>
        <w:rPr>
          <w:rFonts w:hint="eastAsia" w:ascii="仿宋" w:hAnsi="仿宋" w:eastAsia="仿宋" w:cs="仿宋"/>
          <w:color w:val="auto"/>
          <w:sz w:val="24"/>
          <w:szCs w:val="24"/>
        </w:rPr>
      </w:pPr>
      <w:r>
        <w:rPr>
          <w:rFonts w:hint="eastAsia" w:ascii="仿宋" w:hAnsi="仿宋" w:eastAsia="仿宋" w:cs="仿宋"/>
          <w:b/>
          <w:color w:val="auto"/>
          <w:sz w:val="24"/>
          <w:szCs w:val="24"/>
        </w:rPr>
        <w:t>三、商务要求（以“★”标示的内容为不允许负偏离的实质性要求）</w:t>
      </w:r>
    </w:p>
    <w:p>
      <w:pPr>
        <w:pStyle w:val="17"/>
        <w:keepNext w:val="0"/>
        <w:keepLines w:val="0"/>
        <w:pageBreakBefore w:val="0"/>
        <w:kinsoku/>
        <w:wordWrap/>
        <w:overflowPunct/>
        <w:topLinePunct w:val="0"/>
        <w:autoSpaceDE/>
        <w:autoSpaceDN/>
        <w:bidi w:val="0"/>
        <w:adjustRightInd/>
        <w:snapToGrid/>
        <w:spacing w:line="288" w:lineRule="auto"/>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一</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7"/>
              <w:keepNext w:val="0"/>
              <w:keepLines w:val="0"/>
              <w:pageBreakBefore w:val="0"/>
              <w:kinsoku/>
              <w:wordWrap/>
              <w:overflowPunct/>
              <w:topLinePunct w:val="0"/>
              <w:autoSpaceDE/>
              <w:autoSpaceDN/>
              <w:bidi w:val="0"/>
              <w:adjustRightInd/>
              <w:snapToGrid/>
              <w:spacing w:line="288"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2076" w:type="dxa"/>
          </w:tcPr>
          <w:p>
            <w:pPr>
              <w:pStyle w:val="17"/>
              <w:keepNext w:val="0"/>
              <w:keepLines w:val="0"/>
              <w:pageBreakBefore w:val="0"/>
              <w:kinsoku/>
              <w:wordWrap/>
              <w:overflowPunct/>
              <w:topLinePunct w:val="0"/>
              <w:autoSpaceDE/>
              <w:autoSpaceDN/>
              <w:bidi w:val="0"/>
              <w:adjustRightInd/>
              <w:snapToGrid/>
              <w:spacing w:line="288"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参数性质</w:t>
            </w:r>
          </w:p>
        </w:tc>
        <w:tc>
          <w:tcPr>
            <w:tcW w:w="2076" w:type="dxa"/>
          </w:tcPr>
          <w:p>
            <w:pPr>
              <w:pStyle w:val="17"/>
              <w:keepNext w:val="0"/>
              <w:keepLines w:val="0"/>
              <w:pageBreakBefore w:val="0"/>
              <w:kinsoku/>
              <w:wordWrap/>
              <w:overflowPunct/>
              <w:topLinePunct w:val="0"/>
              <w:autoSpaceDE/>
              <w:autoSpaceDN/>
              <w:bidi w:val="0"/>
              <w:adjustRightInd/>
              <w:snapToGrid/>
              <w:spacing w:line="288"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类型</w:t>
            </w:r>
          </w:p>
        </w:tc>
        <w:tc>
          <w:tcPr>
            <w:tcW w:w="2076" w:type="dxa"/>
          </w:tcPr>
          <w:p>
            <w:pPr>
              <w:pStyle w:val="17"/>
              <w:keepNext w:val="0"/>
              <w:keepLines w:val="0"/>
              <w:pageBreakBefore w:val="0"/>
              <w:kinsoku/>
              <w:wordWrap/>
              <w:overflowPunct/>
              <w:topLinePunct w:val="0"/>
              <w:autoSpaceDE/>
              <w:autoSpaceDN/>
              <w:bidi w:val="0"/>
              <w:adjustRightInd/>
              <w:snapToGrid/>
              <w:spacing w:line="288"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7"/>
              <w:keepNext w:val="0"/>
              <w:keepLines w:val="0"/>
              <w:pageBreakBefore w:val="0"/>
              <w:kinsoku/>
              <w:wordWrap/>
              <w:overflowPunct/>
              <w:topLinePunct w:val="0"/>
              <w:autoSpaceDE/>
              <w:autoSpaceDN/>
              <w:bidi w:val="0"/>
              <w:adjustRightInd/>
              <w:snapToGrid/>
              <w:spacing w:line="288"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2076" w:type="dxa"/>
          </w:tcPr>
          <w:p>
            <w:pPr>
              <w:pStyle w:val="17"/>
              <w:keepNext w:val="0"/>
              <w:keepLines w:val="0"/>
              <w:pageBreakBefore w:val="0"/>
              <w:kinsoku/>
              <w:wordWrap/>
              <w:overflowPunct/>
              <w:topLinePunct w:val="0"/>
              <w:autoSpaceDE/>
              <w:autoSpaceDN/>
              <w:bidi w:val="0"/>
              <w:adjustRightInd/>
              <w:snapToGrid/>
              <w:spacing w:line="288"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2076" w:type="dxa"/>
          </w:tcPr>
          <w:p>
            <w:pPr>
              <w:pStyle w:val="17"/>
              <w:keepNext w:val="0"/>
              <w:keepLines w:val="0"/>
              <w:pageBreakBefore w:val="0"/>
              <w:kinsoku/>
              <w:wordWrap/>
              <w:overflowPunct/>
              <w:topLinePunct w:val="0"/>
              <w:autoSpaceDE/>
              <w:autoSpaceDN/>
              <w:bidi w:val="0"/>
              <w:adjustRightInd/>
              <w:snapToGrid/>
              <w:spacing w:line="288"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交货时间</w:t>
            </w:r>
          </w:p>
        </w:tc>
        <w:tc>
          <w:tcPr>
            <w:tcW w:w="2076" w:type="dxa"/>
          </w:tcPr>
          <w:p>
            <w:pPr>
              <w:pStyle w:val="17"/>
              <w:keepNext w:val="0"/>
              <w:keepLines w:val="0"/>
              <w:pageBreakBefore w:val="0"/>
              <w:kinsoku/>
              <w:wordWrap/>
              <w:overflowPunct/>
              <w:topLinePunct w:val="0"/>
              <w:autoSpaceDE/>
              <w:autoSpaceDN/>
              <w:bidi w:val="0"/>
              <w:adjustRightInd/>
              <w:snapToGrid/>
              <w:spacing w:line="288"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自合同签订之日起</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7"/>
              <w:keepNext w:val="0"/>
              <w:keepLines w:val="0"/>
              <w:pageBreakBefore w:val="0"/>
              <w:kinsoku/>
              <w:wordWrap/>
              <w:overflowPunct/>
              <w:topLinePunct w:val="0"/>
              <w:autoSpaceDE/>
              <w:autoSpaceDN/>
              <w:bidi w:val="0"/>
              <w:adjustRightInd/>
              <w:snapToGrid/>
              <w:spacing w:line="288"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2076" w:type="dxa"/>
          </w:tcPr>
          <w:p>
            <w:pPr>
              <w:pStyle w:val="17"/>
              <w:keepNext w:val="0"/>
              <w:keepLines w:val="0"/>
              <w:pageBreakBefore w:val="0"/>
              <w:kinsoku/>
              <w:wordWrap/>
              <w:overflowPunct/>
              <w:topLinePunct w:val="0"/>
              <w:autoSpaceDE/>
              <w:autoSpaceDN/>
              <w:bidi w:val="0"/>
              <w:adjustRightInd/>
              <w:snapToGrid/>
              <w:spacing w:line="288"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2076" w:type="dxa"/>
          </w:tcPr>
          <w:p>
            <w:pPr>
              <w:pStyle w:val="17"/>
              <w:keepNext w:val="0"/>
              <w:keepLines w:val="0"/>
              <w:pageBreakBefore w:val="0"/>
              <w:kinsoku/>
              <w:wordWrap/>
              <w:overflowPunct/>
              <w:topLinePunct w:val="0"/>
              <w:autoSpaceDE/>
              <w:autoSpaceDN/>
              <w:bidi w:val="0"/>
              <w:adjustRightInd/>
              <w:snapToGrid/>
              <w:spacing w:line="288"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交货地点</w:t>
            </w:r>
          </w:p>
        </w:tc>
        <w:tc>
          <w:tcPr>
            <w:tcW w:w="2076" w:type="dxa"/>
          </w:tcPr>
          <w:p>
            <w:pPr>
              <w:pStyle w:val="17"/>
              <w:keepNext w:val="0"/>
              <w:keepLines w:val="0"/>
              <w:pageBreakBefore w:val="0"/>
              <w:kinsoku/>
              <w:wordWrap/>
              <w:overflowPunct/>
              <w:topLinePunct w:val="0"/>
              <w:autoSpaceDE/>
              <w:autoSpaceDN/>
              <w:bidi w:val="0"/>
              <w:adjustRightInd/>
              <w:snapToGrid/>
              <w:spacing w:line="288"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福州市乌龙江公园管理处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pPr>
              <w:pStyle w:val="17"/>
              <w:keepNext w:val="0"/>
              <w:keepLines w:val="0"/>
              <w:pageBreakBefore w:val="0"/>
              <w:kinsoku/>
              <w:wordWrap/>
              <w:overflowPunct/>
              <w:topLinePunct w:val="0"/>
              <w:autoSpaceDE/>
              <w:autoSpaceDN/>
              <w:bidi w:val="0"/>
              <w:adjustRightInd/>
              <w:snapToGrid/>
              <w:spacing w:line="288"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2076" w:type="dxa"/>
          </w:tcPr>
          <w:p>
            <w:pPr>
              <w:pStyle w:val="17"/>
              <w:keepNext w:val="0"/>
              <w:keepLines w:val="0"/>
              <w:pageBreakBefore w:val="0"/>
              <w:kinsoku/>
              <w:wordWrap/>
              <w:overflowPunct/>
              <w:topLinePunct w:val="0"/>
              <w:autoSpaceDE/>
              <w:autoSpaceDN/>
              <w:bidi w:val="0"/>
              <w:adjustRightInd/>
              <w:snapToGrid/>
              <w:spacing w:line="288"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2076" w:type="dxa"/>
          </w:tcPr>
          <w:p>
            <w:pPr>
              <w:pStyle w:val="17"/>
              <w:keepNext w:val="0"/>
              <w:keepLines w:val="0"/>
              <w:pageBreakBefore w:val="0"/>
              <w:kinsoku/>
              <w:wordWrap/>
              <w:overflowPunct/>
              <w:topLinePunct w:val="0"/>
              <w:autoSpaceDE/>
              <w:autoSpaceDN/>
              <w:bidi w:val="0"/>
              <w:adjustRightInd/>
              <w:snapToGrid/>
              <w:spacing w:line="288"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交货条件</w:t>
            </w:r>
          </w:p>
        </w:tc>
        <w:tc>
          <w:tcPr>
            <w:tcW w:w="2076" w:type="dxa"/>
          </w:tcPr>
          <w:p>
            <w:pPr>
              <w:pStyle w:val="17"/>
              <w:keepNext w:val="0"/>
              <w:keepLines w:val="0"/>
              <w:pageBreakBefore w:val="0"/>
              <w:kinsoku/>
              <w:wordWrap/>
              <w:overflowPunct/>
              <w:topLinePunct w:val="0"/>
              <w:autoSpaceDE/>
              <w:autoSpaceDN/>
              <w:bidi w:val="0"/>
              <w:adjustRightInd/>
              <w:snapToGrid/>
              <w:spacing w:line="288"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以签订的合同为准。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7"/>
              <w:keepNext w:val="0"/>
              <w:keepLines w:val="0"/>
              <w:pageBreakBefore w:val="0"/>
              <w:kinsoku/>
              <w:wordWrap/>
              <w:overflowPunct/>
              <w:topLinePunct w:val="0"/>
              <w:autoSpaceDE/>
              <w:autoSpaceDN/>
              <w:bidi w:val="0"/>
              <w:adjustRightInd/>
              <w:snapToGrid/>
              <w:spacing w:line="288"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2076" w:type="dxa"/>
          </w:tcPr>
          <w:p>
            <w:pPr>
              <w:pStyle w:val="17"/>
              <w:keepNext w:val="0"/>
              <w:keepLines w:val="0"/>
              <w:pageBreakBefore w:val="0"/>
              <w:kinsoku/>
              <w:wordWrap/>
              <w:overflowPunct/>
              <w:topLinePunct w:val="0"/>
              <w:autoSpaceDE/>
              <w:autoSpaceDN/>
              <w:bidi w:val="0"/>
              <w:adjustRightInd/>
              <w:snapToGrid/>
              <w:spacing w:line="288"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2076" w:type="dxa"/>
          </w:tcPr>
          <w:p>
            <w:pPr>
              <w:pStyle w:val="17"/>
              <w:keepNext w:val="0"/>
              <w:keepLines w:val="0"/>
              <w:pageBreakBefore w:val="0"/>
              <w:kinsoku/>
              <w:wordWrap/>
              <w:overflowPunct/>
              <w:topLinePunct w:val="0"/>
              <w:autoSpaceDE/>
              <w:autoSpaceDN/>
              <w:bidi w:val="0"/>
              <w:adjustRightInd/>
              <w:snapToGrid/>
              <w:spacing w:line="288"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是否邀请投标人验收</w:t>
            </w:r>
          </w:p>
        </w:tc>
        <w:tc>
          <w:tcPr>
            <w:tcW w:w="2076" w:type="dxa"/>
          </w:tcPr>
          <w:p>
            <w:pPr>
              <w:pStyle w:val="17"/>
              <w:keepNext w:val="0"/>
              <w:keepLines w:val="0"/>
              <w:pageBreakBefore w:val="0"/>
              <w:kinsoku/>
              <w:wordWrap/>
              <w:overflowPunct/>
              <w:topLinePunct w:val="0"/>
              <w:autoSpaceDE/>
              <w:autoSpaceDN/>
              <w:bidi w:val="0"/>
              <w:adjustRightInd/>
              <w:snapToGrid/>
              <w:spacing w:line="288"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7"/>
              <w:keepNext w:val="0"/>
              <w:keepLines w:val="0"/>
              <w:pageBreakBefore w:val="0"/>
              <w:kinsoku/>
              <w:wordWrap/>
              <w:overflowPunct/>
              <w:topLinePunct w:val="0"/>
              <w:autoSpaceDE/>
              <w:autoSpaceDN/>
              <w:bidi w:val="0"/>
              <w:adjustRightInd/>
              <w:snapToGrid/>
              <w:spacing w:line="288"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2076" w:type="dxa"/>
          </w:tcPr>
          <w:p>
            <w:pPr>
              <w:pStyle w:val="17"/>
              <w:keepNext w:val="0"/>
              <w:keepLines w:val="0"/>
              <w:pageBreakBefore w:val="0"/>
              <w:kinsoku/>
              <w:wordWrap/>
              <w:overflowPunct/>
              <w:topLinePunct w:val="0"/>
              <w:autoSpaceDE/>
              <w:autoSpaceDN/>
              <w:bidi w:val="0"/>
              <w:adjustRightInd/>
              <w:snapToGrid/>
              <w:spacing w:line="288"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2076" w:type="dxa"/>
          </w:tcPr>
          <w:p>
            <w:pPr>
              <w:pStyle w:val="17"/>
              <w:keepNext w:val="0"/>
              <w:keepLines w:val="0"/>
              <w:pageBreakBefore w:val="0"/>
              <w:kinsoku/>
              <w:wordWrap/>
              <w:overflowPunct/>
              <w:topLinePunct w:val="0"/>
              <w:autoSpaceDE/>
              <w:autoSpaceDN/>
              <w:bidi w:val="0"/>
              <w:adjustRightInd/>
              <w:snapToGrid/>
              <w:spacing w:line="288" w:lineRule="auto"/>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履约验收方式</w:t>
            </w:r>
          </w:p>
        </w:tc>
        <w:tc>
          <w:tcPr>
            <w:tcW w:w="2076" w:type="dxa"/>
          </w:tcPr>
          <w:p>
            <w:pPr>
              <w:pStyle w:val="17"/>
              <w:keepNext w:val="0"/>
              <w:keepLines w:val="0"/>
              <w:pageBreakBefore w:val="0"/>
              <w:kinsoku/>
              <w:wordWrap/>
              <w:overflowPunct/>
              <w:topLinePunct w:val="0"/>
              <w:autoSpaceDE/>
              <w:autoSpaceDN/>
              <w:bidi w:val="0"/>
              <w:adjustRightInd/>
              <w:snapToGrid/>
              <w:spacing w:line="288"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1、期次1，说明：《福州市市管公园绿化分级养护质量考核办法（试行）》</w:t>
            </w: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rPr>
              <w:t>级养护质量标准、《</w:t>
            </w:r>
            <w:r>
              <w:rPr>
                <w:rFonts w:hint="eastAsia" w:ascii="仿宋" w:hAnsi="仿宋" w:eastAsia="仿宋" w:cs="仿宋"/>
                <w:b w:val="0"/>
                <w:bCs w:val="0"/>
                <w:color w:val="auto"/>
                <w:sz w:val="24"/>
                <w:szCs w:val="24"/>
              </w:rPr>
              <w:t>福州市乌龙江公园</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不含沙滩公园</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绿化养护质量标准及评分细则</w:t>
            </w:r>
            <w:r>
              <w:rPr>
                <w:rFonts w:hint="eastAsia" w:ascii="仿宋" w:hAnsi="仿宋" w:eastAsia="仿宋" w:cs="仿宋"/>
                <w:color w:val="auto"/>
                <w:sz w:val="24"/>
                <w:szCs w:val="24"/>
              </w:rPr>
              <w:t>》中的养护质量标准执行，采购人每月不定期采取普查与随机抽查相结合的办法，对中标人养护质量进行考核验收。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7"/>
              <w:keepNext w:val="0"/>
              <w:keepLines w:val="0"/>
              <w:pageBreakBefore w:val="0"/>
              <w:kinsoku/>
              <w:wordWrap/>
              <w:overflowPunct/>
              <w:topLinePunct w:val="0"/>
              <w:autoSpaceDE/>
              <w:autoSpaceDN/>
              <w:bidi w:val="0"/>
              <w:adjustRightInd/>
              <w:snapToGrid/>
              <w:spacing w:line="288"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2076" w:type="dxa"/>
          </w:tcPr>
          <w:p>
            <w:pPr>
              <w:pStyle w:val="17"/>
              <w:keepNext w:val="0"/>
              <w:keepLines w:val="0"/>
              <w:pageBreakBefore w:val="0"/>
              <w:kinsoku/>
              <w:wordWrap/>
              <w:overflowPunct/>
              <w:topLinePunct w:val="0"/>
              <w:autoSpaceDE/>
              <w:autoSpaceDN/>
              <w:bidi w:val="0"/>
              <w:adjustRightInd/>
              <w:snapToGrid/>
              <w:spacing w:line="288"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2076" w:type="dxa"/>
          </w:tcPr>
          <w:p>
            <w:pPr>
              <w:pStyle w:val="17"/>
              <w:keepNext w:val="0"/>
              <w:keepLines w:val="0"/>
              <w:pageBreakBefore w:val="0"/>
              <w:kinsoku/>
              <w:wordWrap/>
              <w:overflowPunct/>
              <w:topLinePunct w:val="0"/>
              <w:autoSpaceDE/>
              <w:autoSpaceDN/>
              <w:bidi w:val="0"/>
              <w:adjustRightInd/>
              <w:snapToGrid/>
              <w:spacing w:line="288" w:lineRule="auto"/>
              <w:jc w:val="left"/>
              <w:rPr>
                <w:rFonts w:hint="eastAsia" w:ascii="仿宋" w:hAnsi="仿宋" w:eastAsia="仿宋" w:cs="仿宋"/>
                <w:color w:val="auto"/>
                <w:sz w:val="24"/>
                <w:szCs w:val="24"/>
              </w:rPr>
            </w:pPr>
            <w:r>
              <w:rPr>
                <w:rFonts w:hint="eastAsia" w:ascii="仿宋" w:hAnsi="仿宋" w:eastAsia="仿宋" w:cs="仿宋"/>
                <w:b/>
                <w:bCs/>
                <w:color w:val="auto"/>
                <w:sz w:val="24"/>
                <w:szCs w:val="24"/>
              </w:rPr>
              <w:t>合同支付方式</w:t>
            </w:r>
          </w:p>
        </w:tc>
        <w:tc>
          <w:tcPr>
            <w:tcW w:w="2076" w:type="dxa"/>
          </w:tcPr>
          <w:p>
            <w:pPr>
              <w:pStyle w:val="17"/>
              <w:keepNext w:val="0"/>
              <w:keepLines w:val="0"/>
              <w:pageBreakBefore w:val="0"/>
              <w:kinsoku/>
              <w:wordWrap/>
              <w:overflowPunct/>
              <w:topLinePunct w:val="0"/>
              <w:autoSpaceDE/>
              <w:autoSpaceDN/>
              <w:bidi w:val="0"/>
              <w:adjustRightInd/>
              <w:snapToGrid/>
              <w:spacing w:line="288"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第</w:t>
            </w: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-35期</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采购人按照月支付，中标人完成月绿化养护工作，并经采购人和投标人双方共同核定的月养护经费后，待财政资金到位后，采购人以转账方式按月支付中标人上一月养护经费，中标人应出具正式发票，达到付款条件起</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日内，支付合同总金额的</w:t>
            </w:r>
            <w:r>
              <w:rPr>
                <w:rFonts w:hint="eastAsia" w:ascii="仿宋" w:hAnsi="仿宋" w:eastAsia="仿宋" w:cs="仿宋"/>
                <w:color w:val="auto"/>
                <w:sz w:val="24"/>
                <w:szCs w:val="24"/>
                <w:lang w:val="en-US" w:eastAsia="zh-CN"/>
              </w:rPr>
              <w:t>2.77</w:t>
            </w:r>
            <w:r>
              <w:rPr>
                <w:rFonts w:hint="eastAsia" w:ascii="仿宋" w:hAnsi="仿宋" w:eastAsia="仿宋" w:cs="仿宋"/>
                <w:color w:val="auto"/>
                <w:sz w:val="24"/>
                <w:szCs w:val="24"/>
              </w:rPr>
              <w:t>%</w:t>
            </w:r>
          </w:p>
          <w:p>
            <w:pPr>
              <w:pStyle w:val="17"/>
              <w:keepNext w:val="0"/>
              <w:keepLines w:val="0"/>
              <w:pageBreakBefore w:val="0"/>
              <w:kinsoku/>
              <w:wordWrap/>
              <w:overflowPunct/>
              <w:topLinePunct w:val="0"/>
              <w:autoSpaceDE/>
              <w:autoSpaceDN/>
              <w:bidi w:val="0"/>
              <w:adjustRightInd/>
              <w:snapToGrid/>
              <w:spacing w:line="288"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第36期：</w:t>
            </w:r>
            <w:r>
              <w:rPr>
                <w:rFonts w:hint="eastAsia" w:ascii="仿宋" w:hAnsi="仿宋" w:eastAsia="仿宋" w:cs="仿宋"/>
                <w:color w:val="auto"/>
                <w:sz w:val="24"/>
                <w:szCs w:val="24"/>
              </w:rPr>
              <w:t>采购人按照月支付，中标人完成月绿化养护工作，并经采购人和投标人双方共同核定的月养护经费后，待财政资金到位后，采购人以转账方式按月支付中标人上一月养护经费，中标人应出具正式发票，达到付款条件起</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日内，支付合同总金额的</w:t>
            </w:r>
            <w:r>
              <w:rPr>
                <w:rFonts w:hint="eastAsia" w:ascii="仿宋" w:hAnsi="仿宋" w:eastAsia="仿宋" w:cs="仿宋"/>
                <w:color w:val="auto"/>
                <w:sz w:val="24"/>
                <w:szCs w:val="24"/>
                <w:lang w:val="en-US" w:eastAsia="zh-CN"/>
              </w:rPr>
              <w:t>3.05</w:t>
            </w:r>
            <w:r>
              <w:rPr>
                <w:rFonts w:hint="eastAsia" w:ascii="仿宋" w:hAnsi="仿宋" w:eastAsia="仿宋" w:cs="仿宋"/>
                <w:color w:val="auto"/>
                <w:sz w:val="24"/>
                <w:szCs w:val="24"/>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tcPr>
          <w:p>
            <w:pPr>
              <w:pStyle w:val="17"/>
              <w:keepNext w:val="0"/>
              <w:keepLines w:val="0"/>
              <w:pageBreakBefore w:val="0"/>
              <w:kinsoku/>
              <w:wordWrap/>
              <w:overflowPunct/>
              <w:topLinePunct w:val="0"/>
              <w:autoSpaceDE/>
              <w:autoSpaceDN/>
              <w:bidi w:val="0"/>
              <w:adjustRightInd/>
              <w:snapToGrid/>
              <w:spacing w:line="288"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2076" w:type="dxa"/>
          </w:tcPr>
          <w:p>
            <w:pPr>
              <w:pStyle w:val="17"/>
              <w:keepNext w:val="0"/>
              <w:keepLines w:val="0"/>
              <w:pageBreakBefore w:val="0"/>
              <w:kinsoku/>
              <w:wordWrap/>
              <w:overflowPunct/>
              <w:topLinePunct w:val="0"/>
              <w:autoSpaceDE/>
              <w:autoSpaceDN/>
              <w:bidi w:val="0"/>
              <w:adjustRightInd/>
              <w:snapToGrid/>
              <w:spacing w:line="288"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2076" w:type="dxa"/>
          </w:tcPr>
          <w:p>
            <w:pPr>
              <w:pStyle w:val="17"/>
              <w:keepNext w:val="0"/>
              <w:keepLines w:val="0"/>
              <w:pageBreakBefore w:val="0"/>
              <w:kinsoku/>
              <w:wordWrap/>
              <w:overflowPunct/>
              <w:topLinePunct w:val="0"/>
              <w:autoSpaceDE/>
              <w:autoSpaceDN/>
              <w:bidi w:val="0"/>
              <w:adjustRightInd/>
              <w:snapToGrid/>
              <w:spacing w:line="288" w:lineRule="auto"/>
              <w:jc w:val="left"/>
              <w:rPr>
                <w:rFonts w:hint="eastAsia" w:ascii="仿宋" w:hAnsi="仿宋" w:eastAsia="仿宋" w:cs="仿宋"/>
                <w:color w:val="auto"/>
                <w:sz w:val="24"/>
                <w:szCs w:val="24"/>
              </w:rPr>
            </w:pPr>
            <w:r>
              <w:rPr>
                <w:rFonts w:hint="eastAsia" w:ascii="仿宋" w:hAnsi="仿宋" w:eastAsia="仿宋" w:cs="仿宋"/>
                <w:b/>
                <w:bCs/>
                <w:color w:val="auto"/>
                <w:sz w:val="24"/>
                <w:szCs w:val="24"/>
              </w:rPr>
              <w:t>履约保证金</w:t>
            </w:r>
          </w:p>
        </w:tc>
        <w:tc>
          <w:tcPr>
            <w:tcW w:w="2076" w:type="dxa"/>
          </w:tcPr>
          <w:p>
            <w:pPr>
              <w:pStyle w:val="17"/>
              <w:keepNext w:val="0"/>
              <w:keepLines w:val="0"/>
              <w:pageBreakBefore w:val="0"/>
              <w:kinsoku/>
              <w:wordWrap/>
              <w:overflowPunct/>
              <w:topLinePunct w:val="0"/>
              <w:autoSpaceDE/>
              <w:autoSpaceDN/>
              <w:bidi w:val="0"/>
              <w:adjustRightInd/>
              <w:snapToGrid/>
              <w:spacing w:line="288"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缴纳, 本采购包履约保证金为合同金额的3.0%</w:t>
            </w:r>
          </w:p>
          <w:p>
            <w:pPr>
              <w:pStyle w:val="17"/>
              <w:keepNext w:val="0"/>
              <w:keepLines w:val="0"/>
              <w:pageBreakBefore w:val="0"/>
              <w:kinsoku/>
              <w:wordWrap/>
              <w:overflowPunct/>
              <w:topLinePunct w:val="0"/>
              <w:autoSpaceDE/>
              <w:autoSpaceDN/>
              <w:bidi w:val="0"/>
              <w:adjustRightInd/>
              <w:snapToGrid/>
              <w:spacing w:line="288"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说明：中标通知书发出后，合同签订前，中标人须以支票、汇票、本票或者金融机构、担保机构出具的保函等非现金形式向招标人缴纳合同金额3%的履约保证金；在合同期内未出现违约现象及采购人利益受损的情况下，合同到期时无息退还。如中标人违约，不予退还履约保证金，若造成采购人经济损失的，采购人有权向中标人追偿。</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7"/>
              <w:keepNext w:val="0"/>
              <w:keepLines w:val="0"/>
              <w:pageBreakBefore w:val="0"/>
              <w:kinsoku/>
              <w:wordWrap/>
              <w:overflowPunct/>
              <w:topLinePunct w:val="0"/>
              <w:autoSpaceDE/>
              <w:autoSpaceDN/>
              <w:bidi w:val="0"/>
              <w:adjustRightInd/>
              <w:snapToGrid/>
              <w:spacing w:line="288"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2076" w:type="dxa"/>
          </w:tcPr>
          <w:p>
            <w:pPr>
              <w:pStyle w:val="17"/>
              <w:keepNext w:val="0"/>
              <w:keepLines w:val="0"/>
              <w:pageBreakBefore w:val="0"/>
              <w:kinsoku/>
              <w:wordWrap/>
              <w:overflowPunct/>
              <w:topLinePunct w:val="0"/>
              <w:autoSpaceDE/>
              <w:autoSpaceDN/>
              <w:bidi w:val="0"/>
              <w:adjustRightInd/>
              <w:snapToGrid/>
              <w:spacing w:line="288"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2076" w:type="dxa"/>
          </w:tcPr>
          <w:p>
            <w:pPr>
              <w:pStyle w:val="17"/>
              <w:keepNext w:val="0"/>
              <w:keepLines w:val="0"/>
              <w:pageBreakBefore w:val="0"/>
              <w:kinsoku/>
              <w:wordWrap/>
              <w:overflowPunct/>
              <w:topLinePunct w:val="0"/>
              <w:autoSpaceDE/>
              <w:autoSpaceDN/>
              <w:bidi w:val="0"/>
              <w:adjustRightInd/>
              <w:snapToGrid/>
              <w:spacing w:line="288" w:lineRule="auto"/>
              <w:jc w:val="left"/>
              <w:rPr>
                <w:rFonts w:hint="eastAsia" w:ascii="仿宋" w:hAnsi="仿宋" w:eastAsia="仿宋" w:cs="仿宋"/>
                <w:color w:val="auto"/>
                <w:sz w:val="24"/>
                <w:szCs w:val="24"/>
              </w:rPr>
            </w:pPr>
            <w:r>
              <w:rPr>
                <w:rFonts w:hint="eastAsia" w:ascii="仿宋" w:hAnsi="仿宋" w:eastAsia="仿宋" w:cs="仿宋"/>
                <w:b/>
                <w:bCs/>
                <w:color w:val="auto"/>
                <w:sz w:val="24"/>
                <w:szCs w:val="24"/>
              </w:rPr>
              <w:t>其他</w:t>
            </w:r>
          </w:p>
        </w:tc>
        <w:tc>
          <w:tcPr>
            <w:tcW w:w="2076" w:type="dxa"/>
          </w:tcPr>
          <w:p>
            <w:pPr>
              <w:pStyle w:val="17"/>
              <w:keepNext w:val="0"/>
              <w:keepLines w:val="0"/>
              <w:pageBreakBefore w:val="0"/>
              <w:kinsoku/>
              <w:wordWrap/>
              <w:overflowPunct/>
              <w:topLinePunct w:val="0"/>
              <w:autoSpaceDE/>
              <w:autoSpaceDN/>
              <w:bidi w:val="0"/>
              <w:adjustRightInd/>
              <w:snapToGrid/>
              <w:spacing w:line="288"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若因财政部门在服务期内对预算调整，导致采购人无法支付合同费用的，双方协商后经费进行适当调整。（招标文件同样内容与此不一致的，以此为准）</w:t>
            </w:r>
          </w:p>
        </w:tc>
      </w:tr>
    </w:tbl>
    <w:p>
      <w:pPr>
        <w:pStyle w:val="17"/>
        <w:keepNext w:val="0"/>
        <w:keepLines w:val="0"/>
        <w:pageBreakBefore w:val="0"/>
        <w:kinsoku/>
        <w:wordWrap/>
        <w:overflowPunct/>
        <w:topLinePunct w:val="0"/>
        <w:autoSpaceDE/>
        <w:autoSpaceDN/>
        <w:bidi w:val="0"/>
        <w:adjustRightInd/>
        <w:snapToGrid/>
        <w:spacing w:line="288"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其他商务要求</w:t>
      </w:r>
    </w:p>
    <w:p>
      <w:pPr>
        <w:pStyle w:val="17"/>
        <w:keepNext w:val="0"/>
        <w:keepLines w:val="0"/>
        <w:pageBreakBefore w:val="0"/>
        <w:kinsoku/>
        <w:wordWrap/>
        <w:overflowPunct/>
        <w:topLinePunct w:val="0"/>
        <w:autoSpaceDE/>
        <w:autoSpaceDN/>
        <w:bidi w:val="0"/>
        <w:adjustRightInd/>
        <w:snapToGrid/>
        <w:spacing w:line="288"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shd w:val="clear" w:fill="FFFFFF"/>
        </w:rPr>
        <w:t>(</w:t>
      </w:r>
      <w:r>
        <w:rPr>
          <w:rFonts w:hint="eastAsia" w:ascii="仿宋" w:hAnsi="仿宋" w:eastAsia="仿宋" w:cs="仿宋"/>
          <w:b w:val="0"/>
          <w:bCs w:val="0"/>
          <w:color w:val="auto"/>
          <w:sz w:val="24"/>
          <w:szCs w:val="24"/>
          <w:shd w:val="clear" w:fill="FFFFFF"/>
          <w:lang w:val="en-US" w:eastAsia="zh-CN"/>
        </w:rPr>
        <w:t>二</w:t>
      </w:r>
      <w:r>
        <w:rPr>
          <w:rFonts w:hint="eastAsia" w:ascii="仿宋" w:hAnsi="仿宋" w:eastAsia="仿宋" w:cs="仿宋"/>
          <w:b w:val="0"/>
          <w:bCs w:val="0"/>
          <w:color w:val="auto"/>
          <w:sz w:val="24"/>
          <w:szCs w:val="24"/>
          <w:shd w:val="clear" w:fill="FFFFFF"/>
        </w:rPr>
        <w:t>)绿化补植相关细则</w:t>
      </w:r>
    </w:p>
    <w:p>
      <w:pPr>
        <w:pStyle w:val="17"/>
        <w:keepNext w:val="0"/>
        <w:keepLines w:val="0"/>
        <w:pageBreakBefore w:val="0"/>
        <w:kinsoku/>
        <w:wordWrap/>
        <w:overflowPunct/>
        <w:topLinePunct w:val="0"/>
        <w:autoSpaceDE/>
        <w:autoSpaceDN/>
        <w:bidi w:val="0"/>
        <w:adjustRightInd/>
        <w:snapToGrid/>
        <w:spacing w:line="288" w:lineRule="auto"/>
        <w:ind w:firstLine="405"/>
        <w:rPr>
          <w:rFonts w:hint="eastAsia" w:ascii="仿宋" w:hAnsi="仿宋" w:eastAsia="仿宋" w:cs="仿宋"/>
          <w:color w:val="auto"/>
          <w:sz w:val="24"/>
          <w:szCs w:val="24"/>
          <w:shd w:val="clear" w:fill="FFFFFF"/>
        </w:rPr>
      </w:pPr>
      <w:r>
        <w:rPr>
          <w:rFonts w:hint="eastAsia" w:ascii="仿宋" w:hAnsi="仿宋" w:eastAsia="仿宋" w:cs="仿宋"/>
          <w:color w:val="auto"/>
          <w:sz w:val="24"/>
          <w:szCs w:val="24"/>
          <w:shd w:val="clear" w:fill="FFFFFF"/>
          <w:lang w:val="en-US" w:eastAsia="zh-CN"/>
        </w:rPr>
        <w:t>1.</w:t>
      </w:r>
      <w:r>
        <w:rPr>
          <w:rFonts w:hint="eastAsia" w:ascii="仿宋" w:hAnsi="仿宋" w:eastAsia="仿宋" w:cs="仿宋"/>
          <w:color w:val="auto"/>
          <w:sz w:val="24"/>
          <w:szCs w:val="24"/>
          <w:shd w:val="clear" w:fill="FFFFFF"/>
        </w:rPr>
        <w:t>中标人每年进行一次全园苗木盘点，对苗木品种数量进行清点后报送采购人。盘点核实后发现苗木死亡，数量缺少的，其中属于中标人养护不到位的，由中标人采购相应规格苗木进行补植，费用由中标人负责，如整改通知规定时间内中标人不进行补植，采购人有权视情况核减500-2000元的养护服务费，安排自行采购补植，所产生的费用从当月养护服务费用中核减，不足部分由履约保证金中支出，并可继续向中标人追偿。</w:t>
      </w:r>
    </w:p>
    <w:p>
      <w:pPr>
        <w:pStyle w:val="17"/>
        <w:keepNext w:val="0"/>
        <w:keepLines w:val="0"/>
        <w:pageBreakBefore w:val="0"/>
        <w:kinsoku/>
        <w:wordWrap/>
        <w:overflowPunct/>
        <w:topLinePunct w:val="0"/>
        <w:autoSpaceDE/>
        <w:autoSpaceDN/>
        <w:bidi w:val="0"/>
        <w:adjustRightInd/>
        <w:snapToGrid/>
        <w:spacing w:line="288" w:lineRule="auto"/>
        <w:ind w:firstLine="405"/>
        <w:rPr>
          <w:rFonts w:hint="eastAsia" w:ascii="仿宋" w:hAnsi="仿宋" w:eastAsia="仿宋" w:cs="仿宋"/>
          <w:color w:val="auto"/>
          <w:sz w:val="24"/>
          <w:szCs w:val="24"/>
        </w:rPr>
      </w:pPr>
      <w:r>
        <w:rPr>
          <w:rFonts w:hint="eastAsia" w:ascii="仿宋" w:hAnsi="仿宋" w:eastAsia="仿宋" w:cs="仿宋"/>
          <w:color w:val="auto"/>
          <w:sz w:val="24"/>
          <w:szCs w:val="24"/>
          <w:shd w:val="clear" w:fill="FFFFFF"/>
          <w:lang w:val="en-US" w:eastAsia="zh-CN"/>
        </w:rPr>
        <w:t>2.</w:t>
      </w:r>
      <w:r>
        <w:rPr>
          <w:rFonts w:hint="eastAsia" w:ascii="仿宋" w:hAnsi="仿宋" w:eastAsia="仿宋" w:cs="仿宋"/>
          <w:color w:val="auto"/>
          <w:sz w:val="24"/>
          <w:szCs w:val="24"/>
          <w:shd w:val="clear" w:fill="FFFFFF"/>
        </w:rPr>
        <w:t>如中标人养护不到位，造成绿化苗木大量死亡的（死亡率超过15%的），采购人有权解除养护服务合同，并扣除履约保证金。如系重大责任事故，采购人有权根据合同向中标人经济索赔并追究法律责任。</w:t>
      </w:r>
    </w:p>
    <w:p>
      <w:pPr>
        <w:pStyle w:val="17"/>
        <w:keepNext w:val="0"/>
        <w:keepLines w:val="0"/>
        <w:pageBreakBefore w:val="0"/>
        <w:kinsoku/>
        <w:wordWrap/>
        <w:overflowPunct/>
        <w:topLinePunct w:val="0"/>
        <w:autoSpaceDE/>
        <w:autoSpaceDN/>
        <w:bidi w:val="0"/>
        <w:adjustRightInd/>
        <w:snapToGrid/>
        <w:spacing w:line="288"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三</w:t>
      </w:r>
      <w:r>
        <w:rPr>
          <w:rFonts w:hint="eastAsia" w:ascii="仿宋" w:hAnsi="仿宋" w:eastAsia="仿宋" w:cs="仿宋"/>
          <w:b w:val="0"/>
          <w:bCs w:val="0"/>
          <w:color w:val="auto"/>
          <w:sz w:val="24"/>
          <w:szCs w:val="24"/>
        </w:rPr>
        <w:t>)合同管理要求</w:t>
      </w:r>
    </w:p>
    <w:p>
      <w:pPr>
        <w:pStyle w:val="17"/>
        <w:keepNext w:val="0"/>
        <w:keepLines w:val="0"/>
        <w:pageBreakBefore w:val="0"/>
        <w:kinsoku/>
        <w:wordWrap/>
        <w:overflowPunct/>
        <w:topLinePunct w:val="0"/>
        <w:autoSpaceDE/>
        <w:autoSpaceDN/>
        <w:bidi w:val="0"/>
        <w:adjustRightInd/>
        <w:snapToGrid/>
        <w:spacing w:line="288" w:lineRule="auto"/>
        <w:ind w:firstLine="405"/>
        <w:rPr>
          <w:rFonts w:hint="eastAsia" w:ascii="仿宋" w:hAnsi="仿宋" w:eastAsia="仿宋" w:cs="仿宋"/>
          <w:b w:val="0"/>
          <w:bCs w:val="0"/>
          <w:color w:val="auto"/>
          <w:sz w:val="24"/>
          <w:szCs w:val="24"/>
          <w:lang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绿化养护服务期间内，采购人有权根据政府管理需要提前增加或收回部分合同委托管理的区域，中标人应在一个月内完成入场或清场工作。（管理区域如有调整，根据绿化养护面积的实际增减数量，按单位面积中标单价，对中标价进行核</w:t>
      </w:r>
      <w:r>
        <w:rPr>
          <w:rFonts w:hint="eastAsia" w:ascii="仿宋" w:hAnsi="仿宋" w:eastAsia="仿宋" w:cs="仿宋"/>
          <w:b w:val="0"/>
          <w:bCs w:val="0"/>
          <w:color w:val="auto"/>
          <w:sz w:val="24"/>
          <w:szCs w:val="24"/>
        </w:rPr>
        <w:t>增或核减）</w:t>
      </w:r>
      <w:r>
        <w:rPr>
          <w:rFonts w:hint="eastAsia" w:ascii="仿宋" w:hAnsi="仿宋" w:eastAsia="仿宋" w:cs="仿宋"/>
          <w:b w:val="0"/>
          <w:bCs w:val="0"/>
          <w:color w:val="auto"/>
          <w:sz w:val="24"/>
          <w:szCs w:val="24"/>
          <w:lang w:eastAsia="zh-CN"/>
        </w:rPr>
        <w:t>。</w:t>
      </w:r>
    </w:p>
    <w:p>
      <w:pPr>
        <w:pStyle w:val="17"/>
        <w:keepNext w:val="0"/>
        <w:keepLines w:val="0"/>
        <w:pageBreakBefore w:val="0"/>
        <w:kinsoku/>
        <w:wordWrap/>
        <w:overflowPunct/>
        <w:topLinePunct w:val="0"/>
        <w:autoSpaceDE/>
        <w:autoSpaceDN/>
        <w:bidi w:val="0"/>
        <w:adjustRightInd/>
        <w:snapToGrid/>
        <w:spacing w:line="288" w:lineRule="auto"/>
        <w:ind w:firstLine="398"/>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绿化养护服务期间，违反下列规定的中标人将被解除绿化养护服务合同，并扣除履约保证金。</w:t>
      </w:r>
    </w:p>
    <w:p>
      <w:pPr>
        <w:pStyle w:val="17"/>
        <w:keepNext w:val="0"/>
        <w:keepLines w:val="0"/>
        <w:pageBreakBefore w:val="0"/>
        <w:kinsoku/>
        <w:wordWrap/>
        <w:overflowPunct/>
        <w:topLinePunct w:val="0"/>
        <w:autoSpaceDE/>
        <w:autoSpaceDN/>
        <w:bidi w:val="0"/>
        <w:adjustRightInd/>
        <w:snapToGrid/>
        <w:spacing w:line="288"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（1）将承包的绿化养护服务转包他人；</w:t>
      </w:r>
    </w:p>
    <w:p>
      <w:pPr>
        <w:pStyle w:val="17"/>
        <w:keepNext w:val="0"/>
        <w:keepLines w:val="0"/>
        <w:pageBreakBefore w:val="0"/>
        <w:kinsoku/>
        <w:wordWrap/>
        <w:overflowPunct/>
        <w:topLinePunct w:val="0"/>
        <w:autoSpaceDE/>
        <w:autoSpaceDN/>
        <w:bidi w:val="0"/>
        <w:adjustRightInd/>
        <w:snapToGrid/>
        <w:spacing w:line="288" w:lineRule="auto"/>
        <w:ind w:firstLine="40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（2）招标文件及合同的有关规定；</w:t>
      </w:r>
    </w:p>
    <w:p>
      <w:pPr>
        <w:pStyle w:val="17"/>
        <w:keepNext w:val="0"/>
        <w:keepLines w:val="0"/>
        <w:pageBreakBefore w:val="0"/>
        <w:kinsoku/>
        <w:wordWrap/>
        <w:overflowPunct/>
        <w:topLinePunct w:val="0"/>
        <w:autoSpaceDE/>
        <w:autoSpaceDN/>
        <w:bidi w:val="0"/>
        <w:adjustRightInd/>
        <w:snapToGrid/>
        <w:spacing w:line="288"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（3）出现其他重大问题。</w:t>
      </w:r>
    </w:p>
    <w:p>
      <w:pPr>
        <w:pStyle w:val="17"/>
        <w:keepNext w:val="0"/>
        <w:keepLines w:val="0"/>
        <w:pageBreakBefore w:val="0"/>
        <w:kinsoku/>
        <w:wordWrap/>
        <w:overflowPunct/>
        <w:topLinePunct w:val="0"/>
        <w:autoSpaceDE/>
        <w:autoSpaceDN/>
        <w:bidi w:val="0"/>
        <w:adjustRightInd/>
        <w:snapToGrid/>
        <w:spacing w:line="288" w:lineRule="auto"/>
        <w:ind w:firstLine="405"/>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中标人在合同期内需要解除或部分解除合同的应提前壹个月书面告知采购人，否则违约方应向守约方支付中标金额5%的违约金。</w:t>
      </w:r>
    </w:p>
    <w:p>
      <w:pPr>
        <w:pStyle w:val="17"/>
        <w:keepNext w:val="0"/>
        <w:keepLines w:val="0"/>
        <w:pageBreakBefore w:val="0"/>
        <w:kinsoku/>
        <w:wordWrap/>
        <w:overflowPunct/>
        <w:topLinePunct w:val="0"/>
        <w:autoSpaceDE/>
        <w:autoSpaceDN/>
        <w:bidi w:val="0"/>
        <w:adjustRightInd/>
        <w:snapToGrid/>
        <w:spacing w:line="288" w:lineRule="auto"/>
        <w:ind w:firstLine="405"/>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中标人单方面提出解除合同，采购人有权没收全部履约保证金，并上报市采购办予以相应处罚。</w:t>
      </w:r>
    </w:p>
    <w:p>
      <w:pPr>
        <w:pStyle w:val="17"/>
        <w:keepNext w:val="0"/>
        <w:keepLines w:val="0"/>
        <w:pageBreakBefore w:val="0"/>
        <w:kinsoku/>
        <w:wordWrap/>
        <w:overflowPunct/>
        <w:topLinePunct w:val="0"/>
        <w:autoSpaceDE/>
        <w:autoSpaceDN/>
        <w:bidi w:val="0"/>
        <w:adjustRightInd/>
        <w:snapToGrid/>
        <w:spacing w:line="288"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四</w:t>
      </w:r>
      <w:r>
        <w:rPr>
          <w:rFonts w:hint="eastAsia" w:ascii="仿宋" w:hAnsi="仿宋" w:eastAsia="仿宋" w:cs="仿宋"/>
          <w:b w:val="0"/>
          <w:bCs w:val="0"/>
          <w:color w:val="auto"/>
          <w:sz w:val="24"/>
          <w:szCs w:val="24"/>
        </w:rPr>
        <w:t>)中标人管理不当发生重大事故</w:t>
      </w:r>
    </w:p>
    <w:p>
      <w:pPr>
        <w:pStyle w:val="17"/>
        <w:keepNext w:val="0"/>
        <w:keepLines w:val="0"/>
        <w:pageBreakBefore w:val="0"/>
        <w:kinsoku/>
        <w:wordWrap/>
        <w:overflowPunct/>
        <w:topLinePunct w:val="0"/>
        <w:autoSpaceDE/>
        <w:autoSpaceDN/>
        <w:bidi w:val="0"/>
        <w:adjustRightInd/>
        <w:snapToGrid/>
        <w:spacing w:line="288" w:lineRule="auto"/>
        <w:ind w:firstLine="480" w:firstLineChars="0"/>
        <w:jc w:val="both"/>
        <w:rPr>
          <w:rFonts w:hint="eastAsia" w:ascii="仿宋" w:hAnsi="仿宋" w:eastAsia="仿宋" w:cs="仿宋"/>
          <w:b/>
          <w:bCs/>
          <w:color w:val="auto"/>
          <w:sz w:val="24"/>
          <w:szCs w:val="24"/>
          <w:lang w:val="en-US" w:eastAsia="zh-CN"/>
        </w:rPr>
      </w:pPr>
      <w:r>
        <w:rPr>
          <w:rFonts w:hint="eastAsia" w:ascii="仿宋" w:hAnsi="仿宋" w:eastAsia="仿宋" w:cs="仿宋"/>
          <w:color w:val="auto"/>
          <w:sz w:val="24"/>
          <w:szCs w:val="24"/>
          <w:shd w:val="clear" w:fill="FFFFFF"/>
        </w:rPr>
        <w:t>凡属中标人管理不当发生安全生产事故，按损失金额的</w:t>
      </w:r>
      <w:r>
        <w:rPr>
          <w:rFonts w:hint="eastAsia" w:ascii="仿宋" w:hAnsi="仿宋" w:eastAsia="仿宋" w:cs="仿宋"/>
          <w:color w:val="auto"/>
          <w:sz w:val="24"/>
          <w:szCs w:val="24"/>
          <w:shd w:val="clear" w:fill="FFFFFF"/>
          <w:lang w:val="en-US" w:eastAsia="zh-CN"/>
        </w:rPr>
        <w:t>100</w:t>
      </w:r>
      <w:r>
        <w:rPr>
          <w:rFonts w:hint="eastAsia" w:ascii="仿宋" w:hAnsi="仿宋" w:eastAsia="仿宋" w:cs="仿宋"/>
          <w:color w:val="auto"/>
          <w:sz w:val="24"/>
          <w:szCs w:val="24"/>
          <w:shd w:val="clear" w:fill="FFFFFF"/>
        </w:rPr>
        <w:t>%进行赔偿。如系重大责任事故，采购人有权根据合同向中标人索赔并追究法律责任。中标人收到采购人的通知后，在规定的整改期限内仍未整改到位并消除安全隐患的，则采购人有权终止合同。</w:t>
      </w:r>
    </w:p>
    <w:p>
      <w:pPr>
        <w:pStyle w:val="17"/>
        <w:keepNext w:val="0"/>
        <w:keepLines w:val="0"/>
        <w:pageBreakBefore w:val="0"/>
        <w:kinsoku/>
        <w:wordWrap/>
        <w:overflowPunct/>
        <w:topLinePunct w:val="0"/>
        <w:autoSpaceDE/>
        <w:autoSpaceDN/>
        <w:bidi w:val="0"/>
        <w:adjustRightInd/>
        <w:snapToGrid/>
        <w:spacing w:line="288" w:lineRule="auto"/>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lang w:val="en-US" w:eastAsia="zh-CN"/>
        </w:rPr>
        <w:t>（五）</w:t>
      </w:r>
      <w:r>
        <w:rPr>
          <w:rFonts w:hint="eastAsia" w:ascii="仿宋" w:hAnsi="仿宋" w:eastAsia="仿宋" w:cs="仿宋"/>
          <w:b w:val="0"/>
          <w:bCs w:val="0"/>
          <w:color w:val="auto"/>
          <w:sz w:val="24"/>
          <w:szCs w:val="24"/>
          <w:shd w:val="clear" w:fill="FFFFFF"/>
        </w:rPr>
        <w:t>违约责任</w:t>
      </w:r>
    </w:p>
    <w:p>
      <w:pPr>
        <w:pStyle w:val="17"/>
        <w:keepNext w:val="0"/>
        <w:keepLines w:val="0"/>
        <w:pageBreakBefore w:val="0"/>
        <w:kinsoku/>
        <w:wordWrap/>
        <w:overflowPunct/>
        <w:topLinePunct w:val="0"/>
        <w:autoSpaceDE/>
        <w:autoSpaceDN/>
        <w:bidi w:val="0"/>
        <w:adjustRightInd/>
        <w:snapToGrid/>
        <w:spacing w:line="288" w:lineRule="auto"/>
        <w:ind w:firstLine="405"/>
        <w:rPr>
          <w:rFonts w:hint="eastAsia" w:ascii="仿宋" w:hAnsi="仿宋" w:eastAsia="仿宋" w:cs="仿宋"/>
          <w:color w:val="auto"/>
          <w:sz w:val="24"/>
          <w:szCs w:val="24"/>
        </w:rPr>
      </w:pPr>
      <w:r>
        <w:rPr>
          <w:rFonts w:hint="eastAsia" w:ascii="仿宋" w:hAnsi="仿宋" w:eastAsia="仿宋" w:cs="仿宋"/>
          <w:color w:val="auto"/>
          <w:sz w:val="24"/>
          <w:szCs w:val="24"/>
          <w:shd w:val="clear"/>
          <w:lang w:val="en-US" w:eastAsia="zh-CN"/>
        </w:rPr>
        <w:t>1.</w:t>
      </w:r>
      <w:r>
        <w:rPr>
          <w:rFonts w:hint="eastAsia" w:ascii="仿宋" w:hAnsi="仿宋" w:eastAsia="仿宋" w:cs="仿宋"/>
          <w:color w:val="auto"/>
          <w:sz w:val="24"/>
          <w:szCs w:val="24"/>
          <w:shd w:val="clear"/>
        </w:rPr>
        <w:t>中标人应当及时支付员工工资，不得以采购人未向其支付养护服务费为由怠于向员工支付工资。中标人应在每月30日前足额支付本项目所有员工上月工资，逾期每超1日，采购人可扣除服务费2000元，从当月服务费中扣除。一个服务期内超过5次，则采购人有权终止合同。</w:t>
      </w:r>
    </w:p>
    <w:p>
      <w:pPr>
        <w:pStyle w:val="17"/>
        <w:keepNext w:val="0"/>
        <w:keepLines w:val="0"/>
        <w:pageBreakBefore w:val="0"/>
        <w:kinsoku/>
        <w:wordWrap/>
        <w:overflowPunct/>
        <w:topLinePunct w:val="0"/>
        <w:autoSpaceDE/>
        <w:autoSpaceDN/>
        <w:bidi w:val="0"/>
        <w:adjustRightInd/>
        <w:snapToGrid/>
        <w:spacing w:line="288" w:lineRule="auto"/>
        <w:ind w:firstLine="405"/>
        <w:rPr>
          <w:rFonts w:hint="eastAsia" w:ascii="仿宋" w:hAnsi="仿宋" w:eastAsia="仿宋" w:cs="仿宋"/>
          <w:color w:val="auto"/>
          <w:sz w:val="24"/>
          <w:szCs w:val="24"/>
        </w:rPr>
      </w:pPr>
      <w:r>
        <w:rPr>
          <w:rFonts w:hint="eastAsia" w:ascii="仿宋" w:hAnsi="仿宋" w:eastAsia="仿宋" w:cs="仿宋"/>
          <w:color w:val="auto"/>
          <w:sz w:val="24"/>
          <w:szCs w:val="24"/>
          <w:shd w:val="clear"/>
          <w:lang w:val="en-US" w:eastAsia="zh-CN"/>
        </w:rPr>
        <w:t>2.</w:t>
      </w:r>
      <w:r>
        <w:rPr>
          <w:rFonts w:hint="eastAsia" w:ascii="仿宋" w:hAnsi="仿宋" w:eastAsia="仿宋" w:cs="仿宋"/>
          <w:color w:val="auto"/>
          <w:sz w:val="24"/>
          <w:szCs w:val="24"/>
          <w:shd w:val="clear"/>
        </w:rPr>
        <w:t>因中标人原因造成采购合同无法按时签订，视为中标人违约，中标人违约对采购人造成的损失的，需另行支付相应的赔偿。</w:t>
      </w:r>
    </w:p>
    <w:p>
      <w:pPr>
        <w:pStyle w:val="17"/>
        <w:keepNext w:val="0"/>
        <w:keepLines w:val="0"/>
        <w:pageBreakBefore w:val="0"/>
        <w:kinsoku/>
        <w:wordWrap/>
        <w:overflowPunct/>
        <w:topLinePunct w:val="0"/>
        <w:autoSpaceDE/>
        <w:autoSpaceDN/>
        <w:bidi w:val="0"/>
        <w:adjustRightInd/>
        <w:snapToGrid/>
        <w:spacing w:line="288" w:lineRule="auto"/>
        <w:ind w:firstLine="405"/>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在签订采购合同之后，中标人要求解除合同的，视为中标人违约，对采购人造成的损失的，中标人需支付相应的赔偿。</w:t>
      </w:r>
    </w:p>
    <w:p>
      <w:pPr>
        <w:pStyle w:val="17"/>
        <w:keepNext w:val="0"/>
        <w:keepLines w:val="0"/>
        <w:pageBreakBefore w:val="0"/>
        <w:kinsoku/>
        <w:wordWrap/>
        <w:overflowPunct/>
        <w:topLinePunct w:val="0"/>
        <w:autoSpaceDE/>
        <w:autoSpaceDN/>
        <w:bidi w:val="0"/>
        <w:adjustRightInd/>
        <w:snapToGrid/>
        <w:spacing w:line="288" w:lineRule="auto"/>
        <w:ind w:firstLine="405"/>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若发生死亡安全事故，除按国家有关安全管理规定及采购人有关安全管理办法执行外，上报相关行政主管部门按规定进行处罚；发生重大安全事故或特大安全事故，除按国家有关安全管理规定及采购人有关安全管理办法执行外，采购人有权终止合同，给采购人造成的损失，还应承担赔偿责任。</w:t>
      </w:r>
    </w:p>
    <w:p>
      <w:pPr>
        <w:pStyle w:val="17"/>
        <w:keepNext w:val="0"/>
        <w:keepLines w:val="0"/>
        <w:pageBreakBefore w:val="0"/>
        <w:kinsoku/>
        <w:wordWrap/>
        <w:overflowPunct/>
        <w:topLinePunct w:val="0"/>
        <w:autoSpaceDE/>
        <w:autoSpaceDN/>
        <w:bidi w:val="0"/>
        <w:adjustRightInd/>
        <w:snapToGrid/>
        <w:spacing w:line="288" w:lineRule="auto"/>
        <w:ind w:firstLine="405"/>
        <w:jc w:val="left"/>
        <w:rPr>
          <w:rFonts w:hint="eastAsia" w:ascii="仿宋" w:hAnsi="仿宋" w:eastAsia="仿宋" w:cs="仿宋"/>
          <w:color w:val="auto"/>
          <w:sz w:val="24"/>
          <w:szCs w:val="24"/>
          <w:shd w:val="clear"/>
        </w:rPr>
      </w:pPr>
      <w:r>
        <w:rPr>
          <w:rFonts w:hint="eastAsia" w:ascii="仿宋" w:hAnsi="仿宋" w:eastAsia="仿宋" w:cs="仿宋"/>
          <w:color w:val="auto"/>
          <w:sz w:val="24"/>
          <w:szCs w:val="24"/>
          <w:shd w:val="clear"/>
          <w:lang w:val="en-US" w:eastAsia="zh-CN"/>
        </w:rPr>
        <w:t>5.</w:t>
      </w:r>
      <w:r>
        <w:rPr>
          <w:rFonts w:hint="eastAsia" w:ascii="仿宋" w:hAnsi="仿宋" w:eastAsia="仿宋" w:cs="仿宋"/>
          <w:color w:val="auto"/>
          <w:sz w:val="24"/>
          <w:szCs w:val="24"/>
          <w:shd w:val="clear"/>
        </w:rPr>
        <w:t>在明确违约责任后，中标人应在接到书面通知书起七天内支付违约金、赔偿金等。</w:t>
      </w:r>
    </w:p>
    <w:p>
      <w:pPr>
        <w:pStyle w:val="17"/>
        <w:keepNext w:val="0"/>
        <w:keepLines w:val="0"/>
        <w:pageBreakBefore w:val="0"/>
        <w:kinsoku/>
        <w:wordWrap/>
        <w:overflowPunct/>
        <w:topLinePunct w:val="0"/>
        <w:autoSpaceDE/>
        <w:autoSpaceDN/>
        <w:bidi w:val="0"/>
        <w:adjustRightInd/>
        <w:snapToGrid/>
        <w:spacing w:line="288" w:lineRule="auto"/>
        <w:ind w:firstLine="48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（六）</w:t>
      </w:r>
      <w:r>
        <w:rPr>
          <w:rFonts w:hint="eastAsia" w:ascii="仿宋" w:hAnsi="仿宋" w:eastAsia="仿宋" w:cs="仿宋"/>
          <w:b w:val="0"/>
          <w:bCs w:val="0"/>
          <w:color w:val="auto"/>
          <w:sz w:val="24"/>
          <w:szCs w:val="24"/>
          <w:shd w:val="clear" w:fill="FFFFFF"/>
        </w:rPr>
        <w:t>考核验收</w:t>
      </w:r>
    </w:p>
    <w:p>
      <w:pPr>
        <w:pStyle w:val="17"/>
        <w:keepNext w:val="0"/>
        <w:keepLines w:val="0"/>
        <w:pageBreakBefore w:val="0"/>
        <w:kinsoku/>
        <w:wordWrap/>
        <w:overflowPunct/>
        <w:topLinePunct w:val="0"/>
        <w:autoSpaceDE/>
        <w:autoSpaceDN/>
        <w:bidi w:val="0"/>
        <w:adjustRightInd/>
        <w:snapToGrid/>
        <w:spacing w:line="288"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shd w:val="clear" w:fill="FFFFFF"/>
          <w:lang w:val="en-US" w:eastAsia="zh-CN"/>
        </w:rPr>
        <w:t>1.</w:t>
      </w:r>
      <w:r>
        <w:rPr>
          <w:rFonts w:hint="eastAsia" w:ascii="仿宋" w:hAnsi="仿宋" w:eastAsia="仿宋" w:cs="仿宋"/>
          <w:b/>
          <w:bCs/>
          <w:color w:val="auto"/>
          <w:sz w:val="24"/>
          <w:szCs w:val="24"/>
        </w:rPr>
        <w:t>福州市乌龙江公园</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不含沙滩公园</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绿化养护质量标准及评分细则</w:t>
      </w:r>
    </w:p>
    <w:tbl>
      <w:tblPr>
        <w:tblStyle w:val="6"/>
        <w:tblW w:w="11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1"/>
        <w:gridCol w:w="1102"/>
        <w:gridCol w:w="635"/>
        <w:gridCol w:w="3014"/>
        <w:gridCol w:w="31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考核项目</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权重</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养护质量标准</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评分细则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植物养护状况(42分)</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乔木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①生长正常，树冠完整，树干基本挺直；无明显枯枝断枝病虫枝及非自然的黄叶；无藤蔓攀附和寄生植物。</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②结合植物生长特性等组织修剪；梳理榕属植物气生根，避免杂乱。</w:t>
            </w:r>
            <w:r>
              <w:rPr>
                <w:rFonts w:hint="eastAsia" w:ascii="仿宋" w:hAnsi="仿宋" w:eastAsia="仿宋" w:cs="仿宋"/>
                <w:i w:val="0"/>
                <w:iCs w:val="0"/>
                <w:color w:val="auto"/>
                <w:kern w:val="0"/>
                <w:sz w:val="24"/>
                <w:szCs w:val="24"/>
                <w:u w:val="none"/>
                <w:lang w:val="en-US" w:eastAsia="zh-CN" w:bidi="ar"/>
              </w:rPr>
              <w:br w:type="textWrapping"/>
            </w:r>
            <w:r>
              <w:rPr>
                <w:rStyle w:val="18"/>
                <w:rFonts w:hint="eastAsia" w:ascii="仿宋" w:hAnsi="仿宋" w:eastAsia="仿宋" w:cs="仿宋"/>
                <w:color w:val="auto"/>
                <w:sz w:val="24"/>
                <w:szCs w:val="24"/>
                <w:lang w:val="en-US" w:eastAsia="zh-CN" w:bidi="ar"/>
              </w:rPr>
              <w:t>③</w:t>
            </w:r>
            <w:r>
              <w:rPr>
                <w:rStyle w:val="19"/>
                <w:rFonts w:hint="eastAsia" w:ascii="仿宋" w:hAnsi="仿宋" w:eastAsia="仿宋" w:cs="仿宋"/>
                <w:color w:val="auto"/>
                <w:sz w:val="24"/>
                <w:szCs w:val="24"/>
                <w:lang w:val="en-US" w:eastAsia="zh-CN" w:bidi="ar"/>
              </w:rPr>
              <w:t>根据要求对过密、生长环境不适或与周边环境不协调的植株进行移植或改植；因养护原因导致缺株、死株的，应及时去除、补植或进行处罚；补植时，选用与原有种类一致，规格相近的树木，并按要求结合植物的生态习性以及季节特点，安排补植时间。</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①植株生长不良，枝条稀疏、骨架不完整的，每株扣0.2分；花乔木未正常开花的，每株扣0.2分。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② 有枯枝、断枝、病虫枝的，每处扣0.2分；有藤蔓攀附和寄生植物的，每处扣0.1分。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③树冠未</w:t>
            </w:r>
            <w:r>
              <w:rPr>
                <w:rStyle w:val="19"/>
                <w:rFonts w:hint="eastAsia" w:ascii="仿宋" w:hAnsi="仿宋" w:eastAsia="仿宋" w:cs="仿宋"/>
                <w:color w:val="auto"/>
                <w:sz w:val="24"/>
                <w:szCs w:val="24"/>
                <w:lang w:val="en-US" w:eastAsia="zh-CN" w:bidi="ar"/>
              </w:rPr>
              <w:t>根据生长特性进行修剪，导致枝叶过密、不透风不透光，或树形杂乱，每株扣0.5分。</w:t>
            </w:r>
            <w:r>
              <w:rPr>
                <w:rStyle w:val="19"/>
                <w:rFonts w:hint="eastAsia" w:ascii="仿宋" w:hAnsi="仿宋" w:eastAsia="仿宋" w:cs="仿宋"/>
                <w:color w:val="auto"/>
                <w:sz w:val="24"/>
                <w:szCs w:val="24"/>
                <w:lang w:val="en-US" w:eastAsia="zh-CN" w:bidi="ar"/>
              </w:rPr>
              <w:br w:type="textWrapping"/>
            </w:r>
            <w:r>
              <w:rPr>
                <w:rStyle w:val="19"/>
                <w:rFonts w:hint="eastAsia" w:ascii="仿宋" w:hAnsi="仿宋" w:eastAsia="仿宋" w:cs="仿宋"/>
                <w:color w:val="auto"/>
                <w:sz w:val="24"/>
                <w:szCs w:val="24"/>
                <w:lang w:val="en-US" w:eastAsia="zh-CN" w:bidi="ar"/>
              </w:rPr>
              <w:t>④树干下部侧生枝条未及时修剪的，每株扣0.1分。</w:t>
            </w:r>
            <w:r>
              <w:rPr>
                <w:rStyle w:val="19"/>
                <w:rFonts w:hint="eastAsia" w:ascii="仿宋" w:hAnsi="仿宋" w:eastAsia="仿宋" w:cs="仿宋"/>
                <w:color w:val="auto"/>
                <w:sz w:val="24"/>
                <w:szCs w:val="24"/>
                <w:lang w:val="en-US" w:eastAsia="zh-CN" w:bidi="ar"/>
              </w:rPr>
              <w:br w:type="textWrapping"/>
            </w:r>
            <w:r>
              <w:rPr>
                <w:rStyle w:val="19"/>
                <w:rFonts w:hint="eastAsia" w:ascii="仿宋" w:hAnsi="仿宋" w:eastAsia="仿宋" w:cs="仿宋"/>
                <w:color w:val="auto"/>
                <w:sz w:val="24"/>
                <w:szCs w:val="24"/>
                <w:lang w:val="en-US" w:eastAsia="zh-CN" w:bidi="ar"/>
              </w:rPr>
              <w:t>⑤榕属植物气生根未进行梳理，生长杂乱的，每株扣0.1分。</w:t>
            </w:r>
            <w:r>
              <w:rPr>
                <w:rStyle w:val="19"/>
                <w:rFonts w:hint="eastAsia" w:ascii="仿宋" w:hAnsi="仿宋" w:eastAsia="仿宋" w:cs="仿宋"/>
                <w:color w:val="auto"/>
                <w:sz w:val="24"/>
                <w:szCs w:val="24"/>
                <w:lang w:val="en-US" w:eastAsia="zh-CN" w:bidi="ar"/>
              </w:rPr>
              <w:br w:type="textWrapping"/>
            </w:r>
            <w:r>
              <w:rPr>
                <w:rStyle w:val="19"/>
                <w:rFonts w:hint="eastAsia" w:ascii="仿宋" w:hAnsi="仿宋" w:eastAsia="仿宋" w:cs="仿宋"/>
                <w:color w:val="auto"/>
                <w:sz w:val="24"/>
                <w:szCs w:val="24"/>
                <w:lang w:val="en-US" w:eastAsia="zh-CN" w:bidi="ar"/>
              </w:rPr>
              <w:t>⑥未按要求及时对过密、生长环境不适或与周边环境不协调植株进行移植或改植的，每株扣0.5分。</w:t>
            </w:r>
            <w:r>
              <w:rPr>
                <w:rStyle w:val="19"/>
                <w:rFonts w:hint="eastAsia" w:ascii="仿宋" w:hAnsi="仿宋" w:eastAsia="仿宋" w:cs="仿宋"/>
                <w:color w:val="auto"/>
                <w:sz w:val="24"/>
                <w:szCs w:val="24"/>
                <w:lang w:val="en-US" w:eastAsia="zh-CN" w:bidi="ar"/>
              </w:rPr>
              <w:br w:type="textWrapping"/>
            </w:r>
            <w:r>
              <w:rPr>
                <w:rStyle w:val="19"/>
                <w:rFonts w:hint="eastAsia" w:ascii="仿宋" w:hAnsi="仿宋" w:eastAsia="仿宋" w:cs="仿宋"/>
                <w:color w:val="auto"/>
                <w:sz w:val="24"/>
                <w:szCs w:val="24"/>
                <w:lang w:val="en-US" w:eastAsia="zh-CN" w:bidi="ar"/>
              </w:rPr>
              <w:t>⑦未按要求对死亡树木及时去除或补植，每株扣0.5分。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rPr>
                <w:rFonts w:hint="eastAsia" w:ascii="仿宋" w:hAnsi="仿宋" w:eastAsia="仿宋" w:cs="仿宋"/>
                <w:i w:val="0"/>
                <w:iCs w:val="0"/>
                <w:color w:val="auto"/>
                <w:sz w:val="24"/>
                <w:szCs w:val="24"/>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灌木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①灌木长势正常，无明显枯枝断枝及非自然的黄叶；造型美观，正常开花，无明显非自然落花落蕾现象。</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②结合植物的生长特性组织修剪，既造型美观又能适时开花，残花枯枝枯叶应及时修剪、摘除。</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③根据要求对过密、生长环境不适或与周边环境不协调的植株进行移植或改植；因养护原因导致缺株、死株的灌木，应及时去除、补植或进行处罚；补植时，选用与原有品种一致，规格相近的苗木，并按要求结合植物的生态习性以及季节特点，安排补植时间。</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①植株长势不良、疏密处理不当、未正常开花，2%＜缺（死）株率≤3%，扣1分；3%＜缺（死）株率≤10%，扣2-4分；10%＜缺（死）株率，扣5分。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②</w:t>
            </w:r>
            <w:r>
              <w:rPr>
                <w:rStyle w:val="19"/>
                <w:rFonts w:hint="eastAsia" w:ascii="仿宋" w:hAnsi="仿宋" w:eastAsia="仿宋" w:cs="仿宋"/>
                <w:color w:val="auto"/>
                <w:sz w:val="24"/>
                <w:szCs w:val="24"/>
                <w:lang w:val="en-US" w:eastAsia="zh-CN" w:bidi="ar"/>
              </w:rPr>
              <w:t>未根据生长特性进行修剪，导致灌木形态凌乱；花灌木未根据开花习性进行修剪，每处扣1分。</w:t>
            </w:r>
            <w:r>
              <w:rPr>
                <w:rStyle w:val="19"/>
                <w:rFonts w:hint="eastAsia" w:ascii="仿宋" w:hAnsi="仿宋" w:eastAsia="仿宋" w:cs="仿宋"/>
                <w:color w:val="auto"/>
                <w:sz w:val="24"/>
                <w:szCs w:val="24"/>
                <w:lang w:val="en-US" w:eastAsia="zh-CN" w:bidi="ar"/>
              </w:rPr>
              <w:br w:type="textWrapping"/>
            </w:r>
            <w:r>
              <w:rPr>
                <w:rStyle w:val="19"/>
                <w:rFonts w:hint="eastAsia" w:ascii="仿宋" w:hAnsi="仿宋" w:eastAsia="仿宋" w:cs="仿宋"/>
                <w:color w:val="auto"/>
                <w:sz w:val="24"/>
                <w:szCs w:val="24"/>
                <w:lang w:val="en-US" w:eastAsia="zh-CN" w:bidi="ar"/>
              </w:rPr>
              <w:t>③未按要求及时对过密、生长环境不适或与周边环境不协调植株进行移植或改植，每次扣1分；未按要求及时去除或补植缺株、死亡灌木，每次扣1分。</w:t>
            </w:r>
            <w:r>
              <w:rPr>
                <w:rStyle w:val="19"/>
                <w:rFonts w:hint="eastAsia" w:ascii="仿宋" w:hAnsi="仿宋" w:eastAsia="仿宋" w:cs="仿宋"/>
                <w:color w:val="auto"/>
                <w:sz w:val="24"/>
                <w:szCs w:val="24"/>
                <w:lang w:val="en-US" w:eastAsia="zh-CN" w:bidi="ar"/>
              </w:rPr>
              <w:br w:type="textWrapping"/>
            </w:r>
            <w:r>
              <w:rPr>
                <w:rStyle w:val="19"/>
                <w:rFonts w:hint="eastAsia" w:ascii="仿宋" w:hAnsi="仿宋" w:eastAsia="仿宋" w:cs="仿宋"/>
                <w:color w:val="auto"/>
                <w:sz w:val="24"/>
                <w:szCs w:val="24"/>
                <w:lang w:val="en-US" w:eastAsia="zh-CN" w:bidi="ar"/>
              </w:rPr>
              <w:t>④有藤蔓攀附和寄生植物的，每处扣0.2分。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rPr>
                <w:rFonts w:hint="eastAsia" w:ascii="仿宋" w:hAnsi="仿宋" w:eastAsia="仿宋" w:cs="仿宋"/>
                <w:i w:val="0"/>
                <w:iCs w:val="0"/>
                <w:color w:val="auto"/>
                <w:sz w:val="24"/>
                <w:szCs w:val="24"/>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草本花卉</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①植株生长正常，蓬径基本饱满，株高一致。</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②缺株倒伏的花苗≤7%。</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③无明显非自然落花落蕾现象，枯叶、残花量≤5%。</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①缺株倒伏＞7%，每增加1% 扣1分。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②出现明显的非自然落花落蕾现象，每处扣0.5分。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植物养护状况(42分)</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绿篱及地被</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①绿篱应尽量与周围环境协调，轮廓清晰。</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②地被长势好，边缘整齐，覆盖率≥95%。</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①绿篱轮廓不明显，有明显的徒长枝条，有杂草攀附缠绕，每处扣1分。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②覆盖率＜95% ，杂草率＞5%，每处扣1分。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rPr>
                <w:rFonts w:hint="eastAsia" w:ascii="仿宋" w:hAnsi="仿宋" w:eastAsia="仿宋" w:cs="仿宋"/>
                <w:i w:val="0"/>
                <w:iCs w:val="0"/>
                <w:color w:val="auto"/>
                <w:sz w:val="24"/>
                <w:szCs w:val="24"/>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草坪</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①草种应基本纯正，生长势好，草坪覆盖率≥95%。</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②杂草率≤5%，基本平坦，切边整 齐，无明显坑洼积水现象</w:t>
            </w:r>
            <w:r>
              <w:rPr>
                <w:rStyle w:val="19"/>
                <w:rFonts w:hint="eastAsia" w:ascii="仿宋" w:hAnsi="仿宋" w:eastAsia="仿宋" w:cs="仿宋"/>
                <w:color w:val="auto"/>
                <w:sz w:val="24"/>
                <w:szCs w:val="24"/>
                <w:lang w:val="en-US" w:eastAsia="zh-CN" w:bidi="ar"/>
              </w:rPr>
              <w:t>；按要求及时打孔复壮。</w:t>
            </w:r>
            <w:r>
              <w:rPr>
                <w:rStyle w:val="19"/>
                <w:rFonts w:hint="eastAsia" w:ascii="仿宋" w:hAnsi="仿宋" w:eastAsia="仿宋" w:cs="仿宋"/>
                <w:color w:val="auto"/>
                <w:sz w:val="24"/>
                <w:szCs w:val="24"/>
                <w:lang w:val="en-US" w:eastAsia="zh-CN" w:bidi="ar"/>
              </w:rPr>
              <w:br w:type="textWrapping"/>
            </w:r>
            <w:r>
              <w:rPr>
                <w:rStyle w:val="19"/>
                <w:rFonts w:hint="eastAsia" w:ascii="仿宋" w:hAnsi="仿宋" w:eastAsia="仿宋" w:cs="仿宋"/>
                <w:color w:val="auto"/>
                <w:sz w:val="24"/>
                <w:szCs w:val="24"/>
                <w:lang w:val="en-US" w:eastAsia="zh-CN" w:bidi="ar"/>
              </w:rPr>
              <w:t>③根据季节特点和植物的生长发育特性，确保草坪高度基本一致、边缘基本整齐。修剪后基本无明显草屑。</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①斑秃面积＞5%的，每增加1%扣1分。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②杂草率＞5%的，每增加1%扣1分。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③高度明显不一致、切边不整齐，有明显坑洼积水现象，</w:t>
            </w:r>
            <w:r>
              <w:rPr>
                <w:rStyle w:val="19"/>
                <w:rFonts w:hint="eastAsia" w:ascii="仿宋" w:hAnsi="仿宋" w:eastAsia="仿宋" w:cs="仿宋"/>
                <w:color w:val="auto"/>
                <w:sz w:val="24"/>
                <w:szCs w:val="24"/>
                <w:lang w:val="en-US" w:eastAsia="zh-CN" w:bidi="ar"/>
              </w:rPr>
              <w:t>未按要求打孔复壮，每处（次）扣0.5分。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rPr>
                <w:rFonts w:hint="eastAsia" w:ascii="仿宋" w:hAnsi="仿宋" w:eastAsia="仿宋" w:cs="仿宋"/>
                <w:i w:val="0"/>
                <w:iCs w:val="0"/>
                <w:color w:val="auto"/>
                <w:sz w:val="24"/>
                <w:szCs w:val="24"/>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病虫害防治</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①制定病虫害防治预案和计划。</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②无明显有害生物危害状，受害株数应控制在总量的4%以下，单株受害程度应在6%以下，草坪受害面积应在总量3%以下。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③及时普查和扑杀各种检疫性有害生物，防治率应占到99%。</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④科学依法依规使用农药，合理安排施药时间，严禁使用国家明令禁止的剧毒、高残留农药。</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①无病虫害防治预案和计划，扣1分。未按照管理单位要求以及防治预案和计划实施的，每次或每处扣0.2分。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②乔灌木病虫害危害株数达到总量4%的，扣1分，每增加2%扣1分。草坪受害面积达到总量3%的，扣1分，每增加2%扣1分。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③发现检疫性有害生物的，每处扣0.5分。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④使用国家明令禁止的剧毒、高残留农药的，每次扣5分。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⑤发生药害事故，或影响市民游园体验被投诉的，视情节扣1-5分。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rPr>
                <w:rFonts w:hint="eastAsia" w:ascii="仿宋" w:hAnsi="仿宋" w:eastAsia="仿宋" w:cs="仿宋"/>
                <w:i w:val="0"/>
                <w:iCs w:val="0"/>
                <w:color w:val="auto"/>
                <w:sz w:val="24"/>
                <w:szCs w:val="24"/>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水肥管理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①制定年度施肥计划。</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②根据当地气候、土壤保水、植物需水等情况，适时适量浇水。</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③根据树木生长需要和土壤肥力情况，规范作业，合理施肥。</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④暴雨12小时后，无积水现象。</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⑤树木根部周围的土壤宜保持疏松。</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①无年度施肥计划，扣1分。未按照管理单位要求以及年度施肥计划实施的，每次或每处扣0.2分。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②出现缺水症状或缺肥症状，面积达到5%的，扣1分，每增加1%加扣1分。浇水施肥作业不专业，对植物有损害的，每次扣0.5分；出现肥害症状的，每次扣1分。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③暴雨12小时后有积水现象的，每处扣0.5分。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④树木根部周围土壤出现板结的，每株扣0.5分。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植物养护状况(42分)</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极端天气防控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①根据管理单位要求，制定科学有效的极端天气（台风、暴雨、干旱、寒潮等）防控应急预案。</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②发布极端天气预警时，应根据应急预案配齐配足人员、物资、设备等，采取相应措施，尽量减少损失。</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③极端天气发生后，应迅速高效的投入救援力量，采取有效措施开展应急处置工作。</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①无科学有效的极端天气（台风、暴雨、干旱、寒潮等）防控应急预案扣2分。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②发布极端天气预警时，未按应急预案和管理单位要求采取充分有效措施的，每次扣2分。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③极端天气发生后，应急抢险处置不够迅速有效，未在规定时间内完成应急抢险任务的，每次扣2分。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绿地保洁</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(8分)</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绿地环境卫生</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①草坪及低矮地被等绿地，无落叶堆积，无较大的坠落枯枝。</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②绿篱等灌木地被绿地内，基本无大型枯枝、表面无落叶、无沉积落叶。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③乔木上无悬挂的气球、塑料袋等白色垃圾。</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④绿地基本整洁，无鼠洞和蚊蝇滋生地等。</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①草坪及低矮地被等绿地，有堆积、腐坏落叶或较大坠落枯枝的，每处扣0.2分。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②绿篱、花坛等灌木地被绿地内有，大型枯枝、表面有掉落枯叶、下层沉积落叶的，每处扣0.1分。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③乔木上有悬挂的气球、塑料袋等白色垃圾的，每处扣0.1分。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④绿地有鼠洞、蚊蝇滋生地等且未采取有效措施的，每处扣0.1分。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rPr>
                <w:rFonts w:hint="eastAsia" w:ascii="仿宋" w:hAnsi="仿宋" w:eastAsia="仿宋" w:cs="仿宋"/>
                <w:i w:val="0"/>
                <w:iCs w:val="0"/>
                <w:color w:val="auto"/>
                <w:sz w:val="24"/>
                <w:szCs w:val="24"/>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绿化垃圾与垃圾分类</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开展绿化修剪、补植等工作时产生的作业垃圾应在作业当日完成清理，并按照垃圾分类相关规定实行分类运输到指定地点处理。</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绿化作业垃圾当日未清理的，每处扣0.5分。未按照垃圾分类相关规定实行分类运输到指定地点处理，每次扣1分。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养护设施管理（8分）</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养护设施</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①对公园提供的养护设施应基本保持完好无损。</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②随着树木的长大，应及时调整树木支撑设施与树干接触面的防护带、扣件、夹杆等，以免嵌入树皮内。</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③养护设施存在安全隐患或正在进行修复、更换时，应先对现场进行围闭，并设置警示标志。</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①绿化管养范围内取水栓、滴管、喷头、草花护栏、护树架、种植槽、花盆、花缸等设施损坏，并未及时修复的，每处扣0.3分。如损坏不是养护原因造成的，不扣分。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②未及时调整树木支撑设施与树干接触面的防护带、扣件、夹杆等，而嵌入树皮内的，每处扣0.5分。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③对存在安全隐患养护设施，或正在进行修复、更换的现场，未进行现场围闭、设置警示标志的，每处扣0.5分。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rPr>
                <w:rFonts w:hint="eastAsia" w:ascii="仿宋" w:hAnsi="仿宋" w:eastAsia="仿宋" w:cs="仿宋"/>
                <w:i w:val="0"/>
                <w:iCs w:val="0"/>
                <w:color w:val="auto"/>
                <w:sz w:val="24"/>
                <w:szCs w:val="24"/>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其他基础设施</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对公园提供的其他基础设施应保持完好无损。</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因养护原因导致园路、广场铺装和树池等有破损或凹凸，并未及时修复的每处扣0.3分。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绿化安全（8分）</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养护作业安全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①绿化修剪时应设置安全警戒线、警示牌等安全防护设施，高空作业时需使用安全带等防护措施，确保作业人员安全。</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②施肥时，操作人员应按规范操作，使用防护用品。</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③使用农药时需严格按说明书进行稀释和喷洒，操作人员应规范使用防护用品，施药后需做好现场清理、工具清洗和剩余药品收纳。</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④使用机械设备时，操作人员应具备相应操作资格，机械设备周围应设置警示标志，禁止无关人员靠近。</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①绿化修剪时未设置安全警戒线、警示牌等安全防护设施，高空作业时未使用安全带等防护措施的，每次扣1分。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②施肥时，操作人员未按规范使用防护用品的，每次扣0.2分。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③使用农药时未严格按说明书进行稀释和喷洒的，每次扣0.5分，操作人员未规范使用防护用品的，每次扣0.2分，施药后未做好现场清理、工具清洗和剩余药品收纳的，每次扣0.2分。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④使用机械设备时，操作人员不具备相应操作资格，每次扣1分，机械设备周围未设置警示标志的，每次扣0.2分。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rPr>
                <w:rFonts w:hint="eastAsia" w:ascii="仿宋" w:hAnsi="仿宋" w:eastAsia="仿宋" w:cs="仿宋"/>
                <w:i w:val="0"/>
                <w:iCs w:val="0"/>
                <w:color w:val="auto"/>
                <w:sz w:val="24"/>
                <w:szCs w:val="24"/>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安全隐患整治</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加强巡查，及时修剪断枝、折枝、枯枝、下垂枝、病虫枝等，及时清理绿地内及植物上铁丝、铁钉、缆线、地钉等，消除安全隐患。</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①有断枝、折枝、枯枝、下垂枝、病虫枝等未及时修剪，具有安全隐患的，每处扣0.2分；临近道路、园路两侧、广场、儿童游乐等人流量大的区域的未及时修剪的断枝、折枝、枯枝、下垂枝、病虫枝等，每处扣0.5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②绿地内及植物上有铁丝、铁钉、缆线、地钉等具有安全隐患的异物，每处扣0.2分。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养护档案</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（5分）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建立完善的养护档案管理制度，并做好更新维护，记录养护作业全过程。养护档案主要包括：养护的植物种类清单、重点养护植物的养护要点及注意事项、养护计划、养护方案、月度苗木生长状况记录；每年开展一次全园苗木核验工作，对重点养护苗木变动情况做出说明；养护履约合同结束、新旧养护队伍交接时，配合公园管理单位做好全园苗木清单核验工作。</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①未建立养护档案管理制度的，扣5分；养护档案不完整或未按要求未及时更新的，每项扣1分。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②未按要求开展苗木核验工作的，扣5分。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人机配备（4分）</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人员配备情况</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根据招标文件要求，每月对绿化养护人员到位情况进行考核。</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到位总人数≤95%，扣1分；到位总人数＜90%，视为本月此项考核不合格，该项不得分（人数向上取整）。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rPr>
                <w:rFonts w:hint="eastAsia" w:ascii="仿宋" w:hAnsi="仿宋" w:eastAsia="仿宋" w:cs="仿宋"/>
                <w:i w:val="0"/>
                <w:iCs w:val="0"/>
                <w:color w:val="auto"/>
                <w:sz w:val="24"/>
                <w:szCs w:val="24"/>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设施设备配备情况</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根据招标文件和实际工作要求，对绿化养护单位的设施设备到位情况进行考核。</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①养护需要的农具、化肥、农药等消耗品，每项有缺失不足的情况，扣0.2分。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②车辆、打药机、割草机、油锯、绿篱机等设备，每次有缺失的情况，扣0.3分。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12345诉求件及重要工作、重大活动保障（5分）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积极协助办理12345市民诉求件，满足合理正当需求；协助做好重要工作、重大活动保障。</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①对市民的合理诉求整改不及时、不到位的，每次扣2分；因工作推诿、拖拉造成重复投诉的，扣5分。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②重要工作、重大活动保障不力、突发事件处理不当，视情况每次扣3-5分。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茉莉花的养护管理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①无枯枝、病虫枝、细弱枝、过密枝、内膛枝，面积不得超过5%；</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②根据植株大小、生长时期、生长情况制定水肥计划，适时适量浇水，合理施肥，无缺水、缺肥或肥害症状。</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③基本无杂草，无缠绕性、攀援性杂草；杂草高度控制在15cm以下，不影响茉莉花生长。</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④应养护原因导致损坏、死亡的植株应及时更换补植，所用植株应品种相同、规格相近，缺株率在5%以下。</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⑤病虫害防治及时，无明显危害迹象。</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①枯枝、病虫枝、细弱枝、过密枝、内向枝面积每100平方米超过5%（含5%）的扣0.5分。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②植株出现缺水症状或缺肥症状或肥害症状面积每100平方米超过5%（含5%）的扣0.5分。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③茉莉花田杂草超过15cm每10平方米面积扣0.5分。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④缺株面积每100平方米超过5%（含5%）的扣0.5分。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⑤有病虫害危害的面积每100平方米超过5%扣0.5分。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福桔的养护管理</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4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①生长正常，树冠完整；无明显枯枝断枝病虫枝及非自然的黄叶；结合福桔生长特性等组织修剪；无藤蔓攀附和寄生植物。</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②水肥管理科学。</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③采取保花保果措施，确保花果生长正常。</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④病虫害防治及时，无明显危害迹象。</w:t>
            </w:r>
          </w:p>
        </w:tc>
        <w:tc>
          <w:tcPr>
            <w:tcW w:w="4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both"/>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①定期修剪，疏剪直立枝、粗壮徒长枝，及时回缩结果枝和衰退枝。彻底剪除病虫枝、交叉丛生枝，清洁树干，刮除寄生物，涂白并封堵树洞。福桔</w:t>
            </w:r>
            <w:r>
              <w:rPr>
                <w:rFonts w:hint="eastAsia" w:ascii="仿宋" w:hAnsi="仿宋" w:eastAsia="仿宋" w:cs="仿宋"/>
                <w:i w:val="0"/>
                <w:iCs w:val="0"/>
                <w:color w:val="auto"/>
                <w:kern w:val="0"/>
                <w:sz w:val="24"/>
                <w:szCs w:val="24"/>
                <w:highlight w:val="none"/>
                <w:u w:val="none"/>
                <w:lang w:val="en-US" w:eastAsia="zh-CN" w:bidi="ar"/>
              </w:rPr>
              <w:t>园及时清除杂草，防止恶性杂草生长。未达要求的每株扣0.5分。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②科学施肥，适时追肥，每个月施用足量肥，具体施肥量根据树势、树形及福桔园土壤肥力状况等因素确定；根据土壤水分情况和福桔不同生长发育特点进行浇水，雨季应及时疏通，排除积水。未达要求的每次扣0.5分。</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③在福桔开花季应采取保花保果措施，确保花果生长正常；花果超量时，适度剪除过多花枝果枝，同时增加肥料供给，促发适当营养枝，保持福桔的树势树形。未达要求的每株扣0.5</w:t>
            </w:r>
            <w:r>
              <w:rPr>
                <w:rFonts w:hint="eastAsia" w:ascii="仿宋" w:hAnsi="仿宋" w:eastAsia="仿宋" w:cs="仿宋"/>
                <w:i w:val="0"/>
                <w:iCs w:val="0"/>
                <w:color w:val="auto"/>
                <w:kern w:val="0"/>
                <w:sz w:val="24"/>
                <w:szCs w:val="24"/>
                <w:u w:val="none"/>
                <w:lang w:val="en-US" w:eastAsia="zh-CN" w:bidi="ar"/>
              </w:rPr>
              <w:t>分。</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④坚持“预防为主，综合防治”原则，通过预测预报确定病虫害关键防治时期，实施精准防</w:t>
            </w:r>
            <w:r>
              <w:rPr>
                <w:rFonts w:hint="eastAsia" w:ascii="仿宋" w:hAnsi="仿宋" w:eastAsia="仿宋" w:cs="仿宋"/>
                <w:i w:val="0"/>
                <w:iCs w:val="0"/>
                <w:color w:val="auto"/>
                <w:kern w:val="0"/>
                <w:sz w:val="24"/>
                <w:szCs w:val="24"/>
                <w:highlight w:val="none"/>
                <w:u w:val="none"/>
                <w:lang w:val="en-US" w:eastAsia="zh-CN" w:bidi="ar"/>
              </w:rPr>
              <w:t>治。修剪病虫枝，清洁果园等，做好以柑橘黄龙病为重点的及其他常见福桔病虫害的防控工作。未达要求的每株扣0</w:t>
            </w:r>
            <w:r>
              <w:rPr>
                <w:rFonts w:hint="eastAsia" w:ascii="仿宋" w:hAnsi="仿宋" w:eastAsia="仿宋" w:cs="仿宋"/>
                <w:i w:val="0"/>
                <w:iCs w:val="0"/>
                <w:color w:val="auto"/>
                <w:kern w:val="0"/>
                <w:sz w:val="24"/>
                <w:szCs w:val="24"/>
                <w:u w:val="none"/>
                <w:lang w:val="en-US" w:eastAsia="zh-CN" w:bidi="ar"/>
              </w:rPr>
              <w:t>.5分。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7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总分</w:t>
            </w:r>
          </w:p>
        </w:tc>
        <w:tc>
          <w:tcPr>
            <w:tcW w:w="92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288" w:lineRule="auto"/>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100分</w:t>
            </w:r>
          </w:p>
        </w:tc>
      </w:tr>
    </w:tbl>
    <w:p>
      <w:pPr>
        <w:pStyle w:val="17"/>
        <w:keepNext w:val="0"/>
        <w:keepLines w:val="0"/>
        <w:pageBreakBefore w:val="0"/>
        <w:kinsoku/>
        <w:wordWrap/>
        <w:overflowPunct/>
        <w:topLinePunct w:val="0"/>
        <w:autoSpaceDE/>
        <w:autoSpaceDN/>
        <w:bidi w:val="0"/>
        <w:adjustRightInd/>
        <w:snapToGrid/>
        <w:spacing w:line="288"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rPr>
        <w:t>注：考核评分表采用百分制，单项考核项目按次、处扣分。</w:t>
      </w:r>
    </w:p>
    <w:p>
      <w:pPr>
        <w:pStyle w:val="17"/>
        <w:keepNext w:val="0"/>
        <w:keepLines w:val="0"/>
        <w:pageBreakBefore w:val="0"/>
        <w:kinsoku/>
        <w:wordWrap/>
        <w:overflowPunct/>
        <w:topLinePunct w:val="0"/>
        <w:autoSpaceDE/>
        <w:autoSpaceDN/>
        <w:bidi w:val="0"/>
        <w:adjustRightInd/>
        <w:snapToGrid/>
        <w:spacing w:line="288"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绿化养护项目考核细则</w:t>
      </w:r>
    </w:p>
    <w:p>
      <w:pPr>
        <w:pStyle w:val="17"/>
        <w:keepNext w:val="0"/>
        <w:keepLines w:val="0"/>
        <w:pageBreakBefore w:val="0"/>
        <w:kinsoku/>
        <w:wordWrap/>
        <w:overflowPunct/>
        <w:topLinePunct w:val="0"/>
        <w:autoSpaceDE/>
        <w:autoSpaceDN/>
        <w:bidi w:val="0"/>
        <w:adjustRightInd/>
        <w:snapToGrid/>
        <w:spacing w:line="288"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shd w:val="clear" w:fill="FFFFFF"/>
        </w:rPr>
        <w:t>（1）</w:t>
      </w:r>
      <w:r>
        <w:rPr>
          <w:rFonts w:hint="eastAsia" w:ascii="仿宋" w:hAnsi="仿宋" w:eastAsia="仿宋" w:cs="仿宋"/>
          <w:color w:val="auto"/>
          <w:sz w:val="24"/>
          <w:szCs w:val="24"/>
        </w:rPr>
        <w:t>考核人员：采购人组织相关工作人员组成考核组负责考核工作。</w:t>
      </w:r>
    </w:p>
    <w:p>
      <w:pPr>
        <w:pStyle w:val="17"/>
        <w:keepNext w:val="0"/>
        <w:keepLines w:val="0"/>
        <w:pageBreakBefore w:val="0"/>
        <w:kinsoku/>
        <w:wordWrap/>
        <w:overflowPunct/>
        <w:topLinePunct w:val="0"/>
        <w:autoSpaceDE/>
        <w:autoSpaceDN/>
        <w:bidi w:val="0"/>
        <w:adjustRightInd/>
        <w:snapToGrid/>
        <w:spacing w:line="288"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shd w:val="clear" w:fill="FFFFFF"/>
        </w:rPr>
        <w:t>（</w:t>
      </w:r>
      <w:r>
        <w:rPr>
          <w:rFonts w:hint="eastAsia" w:ascii="仿宋" w:hAnsi="仿宋" w:eastAsia="仿宋" w:cs="仿宋"/>
          <w:color w:val="auto"/>
          <w:sz w:val="24"/>
          <w:szCs w:val="24"/>
          <w:shd w:val="clear" w:fill="FFFFFF"/>
          <w:lang w:val="en-US" w:eastAsia="zh-CN"/>
        </w:rPr>
        <w:t>2</w:t>
      </w:r>
      <w:r>
        <w:rPr>
          <w:rFonts w:hint="eastAsia" w:ascii="仿宋" w:hAnsi="仿宋" w:eastAsia="仿宋" w:cs="仿宋"/>
          <w:color w:val="auto"/>
          <w:sz w:val="24"/>
          <w:szCs w:val="24"/>
          <w:shd w:val="clear" w:fill="FFFFFF"/>
        </w:rPr>
        <w:t>）</w:t>
      </w:r>
      <w:r>
        <w:rPr>
          <w:rFonts w:hint="eastAsia" w:ascii="仿宋" w:hAnsi="仿宋" w:eastAsia="仿宋" w:cs="仿宋"/>
          <w:color w:val="auto"/>
          <w:sz w:val="24"/>
          <w:szCs w:val="24"/>
        </w:rPr>
        <w:t>考核方式：考核组对中标人的考核每周</w:t>
      </w:r>
      <w:r>
        <w:rPr>
          <w:rFonts w:hint="eastAsia" w:ascii="仿宋" w:hAnsi="仿宋" w:eastAsia="仿宋" w:cs="仿宋"/>
          <w:color w:val="auto"/>
          <w:sz w:val="24"/>
          <w:szCs w:val="24"/>
          <w:lang w:val="en-US" w:eastAsia="zh-CN"/>
        </w:rPr>
        <w:t>一</w:t>
      </w:r>
      <w:r>
        <w:rPr>
          <w:rFonts w:hint="eastAsia" w:ascii="仿宋" w:hAnsi="仿宋" w:eastAsia="仿宋" w:cs="仿宋"/>
          <w:color w:val="auto"/>
          <w:sz w:val="24"/>
          <w:szCs w:val="24"/>
        </w:rPr>
        <w:t>次，采取不定时不定点考核。</w:t>
      </w:r>
    </w:p>
    <w:p>
      <w:pPr>
        <w:pStyle w:val="17"/>
        <w:keepNext w:val="0"/>
        <w:keepLines w:val="0"/>
        <w:pageBreakBefore w:val="0"/>
        <w:kinsoku/>
        <w:wordWrap/>
        <w:overflowPunct/>
        <w:topLinePunct w:val="0"/>
        <w:autoSpaceDE/>
        <w:autoSpaceDN/>
        <w:bidi w:val="0"/>
        <w:adjustRightInd/>
        <w:snapToGrid/>
        <w:spacing w:line="288" w:lineRule="auto"/>
        <w:ind w:firstLine="405"/>
        <w:rPr>
          <w:rFonts w:hint="eastAsia" w:ascii="仿宋" w:hAnsi="仿宋" w:eastAsia="仿宋" w:cs="仿宋"/>
          <w:color w:val="auto"/>
          <w:sz w:val="24"/>
          <w:szCs w:val="24"/>
        </w:rPr>
      </w:pPr>
      <w:r>
        <w:rPr>
          <w:rFonts w:hint="eastAsia" w:ascii="仿宋" w:hAnsi="仿宋" w:eastAsia="仿宋" w:cs="仿宋"/>
          <w:color w:val="auto"/>
          <w:sz w:val="24"/>
          <w:szCs w:val="24"/>
          <w:shd w:val="clear" w:fill="FFFFFF"/>
        </w:rPr>
        <w:t>（</w:t>
      </w:r>
      <w:r>
        <w:rPr>
          <w:rFonts w:hint="eastAsia" w:ascii="仿宋" w:hAnsi="仿宋" w:eastAsia="仿宋" w:cs="仿宋"/>
          <w:color w:val="auto"/>
          <w:sz w:val="24"/>
          <w:szCs w:val="24"/>
          <w:shd w:val="clear" w:fill="FFFFFF"/>
          <w:lang w:val="en-US" w:eastAsia="zh-CN"/>
        </w:rPr>
        <w:t>3</w:t>
      </w:r>
      <w:r>
        <w:rPr>
          <w:rFonts w:hint="eastAsia" w:ascii="仿宋" w:hAnsi="仿宋" w:eastAsia="仿宋" w:cs="仿宋"/>
          <w:color w:val="auto"/>
          <w:sz w:val="24"/>
          <w:szCs w:val="24"/>
          <w:shd w:val="clear" w:fill="FFFFFF"/>
        </w:rPr>
        <w:t>）</w:t>
      </w:r>
      <w:r>
        <w:rPr>
          <w:rFonts w:hint="eastAsia" w:ascii="仿宋" w:hAnsi="仿宋" w:eastAsia="仿宋" w:cs="仿宋"/>
          <w:color w:val="auto"/>
          <w:sz w:val="24"/>
          <w:szCs w:val="24"/>
        </w:rPr>
        <w:t>检查内容：根据《</w:t>
      </w:r>
      <w:r>
        <w:rPr>
          <w:rFonts w:hint="eastAsia" w:ascii="仿宋" w:hAnsi="仿宋" w:eastAsia="仿宋" w:cs="仿宋"/>
          <w:b/>
          <w:bCs/>
          <w:color w:val="auto"/>
          <w:sz w:val="24"/>
          <w:szCs w:val="24"/>
        </w:rPr>
        <w:t>福州市乌龙江公园</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不含沙滩公园</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绿化养护质量标准及评分细则</w:t>
      </w:r>
      <w:r>
        <w:rPr>
          <w:rFonts w:hint="eastAsia" w:ascii="仿宋" w:hAnsi="仿宋" w:eastAsia="仿宋" w:cs="仿宋"/>
          <w:color w:val="auto"/>
          <w:sz w:val="24"/>
          <w:szCs w:val="24"/>
        </w:rPr>
        <w:t>》对中标人进行考核，同时检查中标人制度执行情况并填写《考核登记表》，一式两份，经双方签字后各执一份，如中标人对考核分数有异议必须在考核当日提出，否则视为默认考核成绩，如若中标人不及时签字确认，采购人一律视为中标人默认采购人的考核评分。</w:t>
      </w:r>
    </w:p>
    <w:p>
      <w:pPr>
        <w:pStyle w:val="17"/>
        <w:keepNext w:val="0"/>
        <w:keepLines w:val="0"/>
        <w:pageBreakBefore w:val="0"/>
        <w:kinsoku/>
        <w:wordWrap/>
        <w:overflowPunct/>
        <w:topLinePunct w:val="0"/>
        <w:autoSpaceDE/>
        <w:autoSpaceDN/>
        <w:bidi w:val="0"/>
        <w:adjustRightInd/>
        <w:snapToGrid/>
        <w:spacing w:line="288" w:lineRule="auto"/>
        <w:ind w:firstLine="405"/>
        <w:rPr>
          <w:rFonts w:hint="eastAsia" w:ascii="仿宋" w:hAnsi="仿宋" w:eastAsia="仿宋" w:cs="仿宋"/>
          <w:color w:val="auto"/>
          <w:sz w:val="24"/>
          <w:szCs w:val="24"/>
        </w:rPr>
      </w:pPr>
      <w:r>
        <w:rPr>
          <w:rFonts w:hint="eastAsia" w:ascii="仿宋" w:hAnsi="仿宋" w:eastAsia="仿宋" w:cs="仿宋"/>
          <w:color w:val="auto"/>
          <w:sz w:val="24"/>
          <w:szCs w:val="24"/>
          <w:shd w:val="clear" w:fill="FFFFFF"/>
        </w:rPr>
        <w:t>（</w:t>
      </w:r>
      <w:r>
        <w:rPr>
          <w:rFonts w:hint="eastAsia" w:ascii="仿宋" w:hAnsi="仿宋" w:eastAsia="仿宋" w:cs="仿宋"/>
          <w:color w:val="auto"/>
          <w:sz w:val="24"/>
          <w:szCs w:val="24"/>
          <w:shd w:val="clear" w:fill="FFFFFF"/>
          <w:lang w:val="en-US" w:eastAsia="zh-CN"/>
        </w:rPr>
        <w:t>4</w:t>
      </w:r>
      <w:r>
        <w:rPr>
          <w:rFonts w:hint="eastAsia" w:ascii="仿宋" w:hAnsi="仿宋" w:eastAsia="仿宋" w:cs="仿宋"/>
          <w:color w:val="auto"/>
          <w:sz w:val="24"/>
          <w:szCs w:val="24"/>
          <w:shd w:val="clear" w:fill="FFFFFF"/>
        </w:rPr>
        <w:t>）</w:t>
      </w:r>
      <w:r>
        <w:rPr>
          <w:rFonts w:hint="eastAsia" w:ascii="仿宋" w:hAnsi="仿宋" w:eastAsia="仿宋" w:cs="仿宋"/>
          <w:color w:val="auto"/>
          <w:sz w:val="24"/>
          <w:szCs w:val="24"/>
        </w:rPr>
        <w:t>计算方法：考核时间为合同期内的每个完整月，根据该月内每周考核组考评分数的平均值为最终得分，并作为每月服务费结算的依据。</w:t>
      </w:r>
    </w:p>
    <w:p>
      <w:pPr>
        <w:pStyle w:val="17"/>
        <w:keepNext w:val="0"/>
        <w:keepLines w:val="0"/>
        <w:pageBreakBefore w:val="0"/>
        <w:kinsoku/>
        <w:wordWrap/>
        <w:overflowPunct/>
        <w:topLinePunct w:val="0"/>
        <w:autoSpaceDE/>
        <w:autoSpaceDN/>
        <w:bidi w:val="0"/>
        <w:adjustRightInd/>
        <w:snapToGrid/>
        <w:spacing w:line="288" w:lineRule="auto"/>
        <w:ind w:firstLine="405"/>
        <w:rPr>
          <w:rFonts w:hint="eastAsia" w:ascii="仿宋" w:hAnsi="仿宋" w:eastAsia="仿宋" w:cs="仿宋"/>
          <w:color w:val="auto"/>
          <w:sz w:val="24"/>
          <w:szCs w:val="24"/>
        </w:rPr>
      </w:pPr>
      <w:r>
        <w:rPr>
          <w:rFonts w:hint="eastAsia" w:ascii="仿宋" w:hAnsi="仿宋" w:eastAsia="仿宋" w:cs="仿宋"/>
          <w:color w:val="auto"/>
          <w:sz w:val="24"/>
          <w:szCs w:val="24"/>
          <w:shd w:val="clear" w:fill="FFFFFF"/>
        </w:rPr>
        <w:t>（</w:t>
      </w:r>
      <w:r>
        <w:rPr>
          <w:rFonts w:hint="eastAsia" w:ascii="仿宋" w:hAnsi="仿宋" w:eastAsia="仿宋" w:cs="仿宋"/>
          <w:color w:val="auto"/>
          <w:sz w:val="24"/>
          <w:szCs w:val="24"/>
          <w:shd w:val="clear" w:fill="FFFFFF"/>
          <w:lang w:val="en-US" w:eastAsia="zh-CN"/>
        </w:rPr>
        <w:t>5</w:t>
      </w:r>
      <w:r>
        <w:rPr>
          <w:rFonts w:hint="eastAsia" w:ascii="仿宋" w:hAnsi="仿宋" w:eastAsia="仿宋" w:cs="仿宋"/>
          <w:color w:val="auto"/>
          <w:sz w:val="24"/>
          <w:szCs w:val="24"/>
          <w:shd w:val="clear" w:fill="FFFFFF"/>
        </w:rPr>
        <w:t>）</w:t>
      </w:r>
      <w:r>
        <w:rPr>
          <w:rFonts w:hint="eastAsia" w:ascii="仿宋" w:hAnsi="仿宋" w:eastAsia="仿宋" w:cs="仿宋"/>
          <w:color w:val="auto"/>
          <w:sz w:val="24"/>
          <w:szCs w:val="24"/>
        </w:rPr>
        <w:t>档案管理：采购人要建立完善的内部日常检查制度和台账，并把检查结果备案。</w:t>
      </w:r>
    </w:p>
    <w:p>
      <w:pPr>
        <w:pStyle w:val="17"/>
        <w:keepNext w:val="0"/>
        <w:keepLines w:val="0"/>
        <w:pageBreakBefore w:val="0"/>
        <w:kinsoku/>
        <w:wordWrap/>
        <w:overflowPunct/>
        <w:topLinePunct w:val="0"/>
        <w:autoSpaceDE/>
        <w:autoSpaceDN/>
        <w:bidi w:val="0"/>
        <w:adjustRightInd/>
        <w:snapToGrid/>
        <w:spacing w:line="288" w:lineRule="auto"/>
        <w:ind w:firstLine="405"/>
        <w:rPr>
          <w:rFonts w:hint="eastAsia" w:ascii="仿宋" w:hAnsi="仿宋" w:eastAsia="仿宋" w:cs="仿宋"/>
          <w:color w:val="auto"/>
          <w:sz w:val="24"/>
          <w:szCs w:val="24"/>
        </w:rPr>
      </w:pPr>
      <w:r>
        <w:rPr>
          <w:rFonts w:hint="eastAsia" w:ascii="仿宋" w:hAnsi="仿宋" w:eastAsia="仿宋" w:cs="仿宋"/>
          <w:color w:val="auto"/>
          <w:sz w:val="24"/>
          <w:szCs w:val="24"/>
          <w:shd w:val="clear" w:fill="FFFFFF"/>
        </w:rPr>
        <w:t>（</w:t>
      </w:r>
      <w:r>
        <w:rPr>
          <w:rFonts w:hint="eastAsia" w:ascii="仿宋" w:hAnsi="仿宋" w:eastAsia="仿宋" w:cs="仿宋"/>
          <w:color w:val="auto"/>
          <w:sz w:val="24"/>
          <w:szCs w:val="24"/>
          <w:shd w:val="clear" w:fill="FFFFFF"/>
          <w:lang w:val="en-US" w:eastAsia="zh-CN"/>
        </w:rPr>
        <w:t>6</w:t>
      </w:r>
      <w:r>
        <w:rPr>
          <w:rFonts w:hint="eastAsia" w:ascii="仿宋" w:hAnsi="仿宋" w:eastAsia="仿宋" w:cs="仿宋"/>
          <w:color w:val="auto"/>
          <w:sz w:val="24"/>
          <w:szCs w:val="24"/>
          <w:shd w:val="clear" w:fill="FFFFFF"/>
        </w:rPr>
        <w:t>）</w:t>
      </w:r>
      <w:r>
        <w:rPr>
          <w:rFonts w:hint="eastAsia" w:ascii="仿宋" w:hAnsi="仿宋" w:eastAsia="仿宋" w:cs="仿宋"/>
          <w:color w:val="auto"/>
          <w:sz w:val="24"/>
          <w:szCs w:val="24"/>
          <w:lang w:eastAsia="zh-CN"/>
        </w:rPr>
        <w:t>考核与经费支付：</w:t>
      </w:r>
      <w:r>
        <w:rPr>
          <w:rFonts w:hint="eastAsia" w:ascii="仿宋" w:hAnsi="仿宋" w:eastAsia="仿宋" w:cs="仿宋"/>
          <w:color w:val="auto"/>
          <w:sz w:val="24"/>
          <w:szCs w:val="24"/>
        </w:rPr>
        <w:t>按照下列得分评定等级，给予相应支付。</w:t>
      </w:r>
    </w:p>
    <w:p>
      <w:pPr>
        <w:pStyle w:val="17"/>
        <w:keepNext w:val="0"/>
        <w:keepLines w:val="0"/>
        <w:pageBreakBefore w:val="0"/>
        <w:widowControl/>
        <w:kinsoku/>
        <w:wordWrap/>
        <w:overflowPunct/>
        <w:topLinePunct w:val="0"/>
        <w:autoSpaceDE/>
        <w:autoSpaceDN/>
        <w:bidi w:val="0"/>
        <w:adjustRightInd/>
        <w:snapToGrid/>
        <w:spacing w:line="288" w:lineRule="auto"/>
        <w:ind w:firstLine="480" w:firstLineChars="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① 考核得分≥90分，全额支付养护经费；</w:t>
      </w:r>
    </w:p>
    <w:p>
      <w:pPr>
        <w:pStyle w:val="17"/>
        <w:keepNext w:val="0"/>
        <w:keepLines w:val="0"/>
        <w:pageBreakBefore w:val="0"/>
        <w:widowControl/>
        <w:kinsoku/>
        <w:wordWrap/>
        <w:overflowPunct/>
        <w:topLinePunct w:val="0"/>
        <w:autoSpaceDE/>
        <w:autoSpaceDN/>
        <w:bidi w:val="0"/>
        <w:adjustRightInd/>
        <w:snapToGrid/>
        <w:spacing w:line="288" w:lineRule="auto"/>
        <w:ind w:firstLine="480" w:firstLineChars="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② 85分≤考核得分＜90分的，支付养护经费的95%；</w:t>
      </w:r>
    </w:p>
    <w:p>
      <w:pPr>
        <w:pStyle w:val="17"/>
        <w:keepNext w:val="0"/>
        <w:keepLines w:val="0"/>
        <w:pageBreakBefore w:val="0"/>
        <w:widowControl/>
        <w:kinsoku/>
        <w:wordWrap/>
        <w:overflowPunct/>
        <w:topLinePunct w:val="0"/>
        <w:autoSpaceDE/>
        <w:autoSpaceDN/>
        <w:bidi w:val="0"/>
        <w:adjustRightInd/>
        <w:snapToGrid/>
        <w:spacing w:line="288" w:lineRule="auto"/>
        <w:ind w:firstLine="480" w:firstLineChars="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③ 80分≤考核得分＜85分的，支付养护经费的90%；</w:t>
      </w:r>
    </w:p>
    <w:p>
      <w:pPr>
        <w:pStyle w:val="17"/>
        <w:keepNext w:val="0"/>
        <w:keepLines w:val="0"/>
        <w:pageBreakBefore w:val="0"/>
        <w:widowControl/>
        <w:kinsoku/>
        <w:wordWrap/>
        <w:overflowPunct/>
        <w:topLinePunct w:val="0"/>
        <w:autoSpaceDE/>
        <w:autoSpaceDN/>
        <w:bidi w:val="0"/>
        <w:adjustRightInd/>
        <w:snapToGrid/>
        <w:spacing w:line="288" w:lineRule="auto"/>
        <w:ind w:firstLine="480" w:firstLineChars="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④ 70分≤考核得分＜80分的，支付养护经费的80%；</w:t>
      </w:r>
    </w:p>
    <w:p>
      <w:pPr>
        <w:pStyle w:val="17"/>
        <w:keepNext w:val="0"/>
        <w:keepLines w:val="0"/>
        <w:pageBreakBefore w:val="0"/>
        <w:widowControl/>
        <w:kinsoku/>
        <w:wordWrap/>
        <w:overflowPunct/>
        <w:topLinePunct w:val="0"/>
        <w:autoSpaceDE/>
        <w:autoSpaceDN/>
        <w:bidi w:val="0"/>
        <w:adjustRightInd/>
        <w:snapToGrid/>
        <w:spacing w:line="288" w:lineRule="auto"/>
        <w:ind w:firstLine="480" w:firstLineChars="0"/>
        <w:jc w:val="left"/>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⑤ 60分≤考核得分＜70分的，支付养护经费的60%；</w:t>
      </w:r>
    </w:p>
    <w:p>
      <w:pPr>
        <w:pStyle w:val="17"/>
        <w:keepNext w:val="0"/>
        <w:keepLines w:val="0"/>
        <w:pageBreakBefore w:val="0"/>
        <w:numPr>
          <w:ilvl w:val="0"/>
          <w:numId w:val="0"/>
        </w:numPr>
        <w:kinsoku/>
        <w:wordWrap/>
        <w:overflowPunct/>
        <w:topLinePunct w:val="0"/>
        <w:autoSpaceDE/>
        <w:autoSpaceDN/>
        <w:bidi w:val="0"/>
        <w:adjustRightInd/>
        <w:snapToGrid/>
        <w:spacing w:line="288" w:lineRule="auto"/>
        <w:ind w:firstLine="480"/>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SA"/>
        </w:rPr>
        <w:t>⑥ 考核得分低于60分或合同(或协议)期内累计3次考核得分低于80分的，采购人有权终止合同。</w:t>
      </w:r>
    </w:p>
    <w:p>
      <w:pPr>
        <w:pStyle w:val="17"/>
        <w:keepNext w:val="0"/>
        <w:keepLines w:val="0"/>
        <w:pageBreakBefore w:val="0"/>
        <w:kinsoku/>
        <w:wordWrap/>
        <w:overflowPunct/>
        <w:topLinePunct w:val="0"/>
        <w:autoSpaceDE/>
        <w:autoSpaceDN/>
        <w:bidi w:val="0"/>
        <w:adjustRightInd/>
        <w:snapToGrid/>
        <w:spacing w:line="288" w:lineRule="auto"/>
        <w:ind w:firstLine="48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(七)</w:t>
      </w:r>
      <w:r>
        <w:rPr>
          <w:rFonts w:hint="eastAsia" w:ascii="仿宋" w:hAnsi="仿宋" w:eastAsia="仿宋" w:cs="仿宋"/>
          <w:b w:val="0"/>
          <w:bCs w:val="0"/>
          <w:color w:val="auto"/>
          <w:sz w:val="24"/>
          <w:szCs w:val="24"/>
        </w:rPr>
        <w:t>日常养护服务管理奖惩办法</w:t>
      </w:r>
    </w:p>
    <w:p>
      <w:pPr>
        <w:pStyle w:val="17"/>
        <w:keepNext w:val="0"/>
        <w:keepLines w:val="0"/>
        <w:pageBreakBefore w:val="0"/>
        <w:kinsoku/>
        <w:wordWrap/>
        <w:overflowPunct/>
        <w:topLinePunct w:val="0"/>
        <w:autoSpaceDE/>
        <w:autoSpaceDN/>
        <w:bidi w:val="0"/>
        <w:adjustRightInd/>
        <w:snapToGrid/>
        <w:spacing w:line="288" w:lineRule="auto"/>
        <w:ind w:firstLine="420"/>
        <w:rPr>
          <w:rFonts w:hint="eastAsia" w:ascii="仿宋" w:hAnsi="仿宋" w:eastAsia="仿宋" w:cs="仿宋"/>
          <w:color w:val="auto"/>
          <w:sz w:val="24"/>
          <w:szCs w:val="24"/>
          <w:shd w:val="clear" w:fill="FFFFFF"/>
        </w:rPr>
      </w:pPr>
      <w:r>
        <w:rPr>
          <w:rFonts w:hint="eastAsia" w:ascii="仿宋" w:hAnsi="仿宋" w:eastAsia="仿宋" w:cs="仿宋"/>
          <w:color w:val="auto"/>
          <w:sz w:val="24"/>
          <w:szCs w:val="24"/>
          <w:shd w:val="clear" w:fill="FFFFFF"/>
          <w:lang w:val="en-US" w:eastAsia="zh-CN"/>
        </w:rPr>
        <w:t>1.</w:t>
      </w:r>
      <w:r>
        <w:rPr>
          <w:rFonts w:hint="eastAsia" w:ascii="仿宋" w:hAnsi="仿宋" w:eastAsia="仿宋" w:cs="仿宋"/>
          <w:color w:val="auto"/>
          <w:sz w:val="24"/>
          <w:szCs w:val="24"/>
          <w:shd w:val="clear" w:fill="FFFFFF"/>
        </w:rPr>
        <w:t>一个</w:t>
      </w:r>
      <w:r>
        <w:rPr>
          <w:rFonts w:hint="eastAsia" w:ascii="仿宋" w:hAnsi="仿宋" w:eastAsia="仿宋" w:cs="仿宋"/>
          <w:color w:val="auto"/>
          <w:sz w:val="24"/>
          <w:szCs w:val="24"/>
          <w:shd w:val="clear" w:fill="FFFFFF"/>
          <w:lang w:eastAsia="zh-CN"/>
        </w:rPr>
        <w:t>考核年度</w:t>
      </w:r>
      <w:r>
        <w:rPr>
          <w:rFonts w:hint="eastAsia" w:ascii="仿宋" w:hAnsi="仿宋" w:eastAsia="仿宋" w:cs="仿宋"/>
          <w:color w:val="auto"/>
          <w:sz w:val="24"/>
          <w:szCs w:val="24"/>
          <w:shd w:val="clear" w:fill="FFFFFF"/>
        </w:rPr>
        <w:t>内，采购人每月不定期采取普查与随机抽查相结合的办法，对中标人养护质量进行验收。如发现违反合同规定的，采购人视情节处以口头警告或核减养护服务费300至500元，并以书面形式通知中标人，中标人应在规定时间内及时整改到位。如未按要求整改到位的采购人则有权视情况(按500-2000元/每次未整改到位) 核减养护服务费，从当月养护服务费中扣除。</w:t>
      </w:r>
    </w:p>
    <w:p>
      <w:pPr>
        <w:pStyle w:val="17"/>
        <w:keepNext w:val="0"/>
        <w:keepLines w:val="0"/>
        <w:pageBreakBefore w:val="0"/>
        <w:kinsoku/>
        <w:wordWrap/>
        <w:overflowPunct/>
        <w:topLinePunct w:val="0"/>
        <w:autoSpaceDE/>
        <w:autoSpaceDN/>
        <w:bidi w:val="0"/>
        <w:adjustRightInd/>
        <w:snapToGrid/>
        <w:spacing w:line="288" w:lineRule="auto"/>
        <w:ind w:firstLine="420"/>
        <w:rPr>
          <w:rFonts w:hint="eastAsia" w:ascii="仿宋" w:hAnsi="仿宋" w:eastAsia="仿宋" w:cs="仿宋"/>
          <w:color w:val="auto"/>
          <w:sz w:val="24"/>
          <w:szCs w:val="24"/>
          <w:shd w:val="clear" w:fill="FFFFFF"/>
        </w:rPr>
      </w:pPr>
      <w:r>
        <w:rPr>
          <w:rFonts w:hint="eastAsia" w:ascii="仿宋" w:hAnsi="仿宋" w:eastAsia="仿宋" w:cs="仿宋"/>
          <w:color w:val="auto"/>
          <w:sz w:val="24"/>
          <w:szCs w:val="24"/>
          <w:shd w:val="clear" w:fill="FFFFFF"/>
          <w:lang w:val="en-US" w:eastAsia="zh-CN"/>
        </w:rPr>
        <w:t>2.</w:t>
      </w:r>
      <w:r>
        <w:rPr>
          <w:rFonts w:hint="eastAsia" w:ascii="仿宋" w:hAnsi="仿宋" w:eastAsia="仿宋" w:cs="仿宋"/>
          <w:color w:val="auto"/>
          <w:sz w:val="24"/>
          <w:szCs w:val="24"/>
          <w:shd w:val="clear" w:fill="FFFFFF"/>
        </w:rPr>
        <w:t>一个</w:t>
      </w:r>
      <w:r>
        <w:rPr>
          <w:rFonts w:hint="eastAsia" w:ascii="仿宋" w:hAnsi="仿宋" w:eastAsia="仿宋" w:cs="仿宋"/>
          <w:color w:val="auto"/>
          <w:sz w:val="24"/>
          <w:szCs w:val="24"/>
          <w:shd w:val="clear" w:fill="FFFFFF"/>
          <w:lang w:eastAsia="zh-CN"/>
        </w:rPr>
        <w:t>考核年度</w:t>
      </w:r>
      <w:r>
        <w:rPr>
          <w:rFonts w:hint="eastAsia" w:ascii="仿宋" w:hAnsi="仿宋" w:eastAsia="仿宋" w:cs="仿宋"/>
          <w:color w:val="auto"/>
          <w:sz w:val="24"/>
          <w:szCs w:val="24"/>
          <w:shd w:val="clear" w:fill="FFFFFF"/>
        </w:rPr>
        <w:t>内，遇国家、省、市、局相关检查，中标人绿化养护服务工作相关处理细则：</w:t>
      </w:r>
    </w:p>
    <w:p>
      <w:pPr>
        <w:pStyle w:val="17"/>
        <w:keepNext w:val="0"/>
        <w:keepLines w:val="0"/>
        <w:pageBreakBefore w:val="0"/>
        <w:kinsoku/>
        <w:wordWrap/>
        <w:overflowPunct/>
        <w:topLinePunct w:val="0"/>
        <w:autoSpaceDE/>
        <w:autoSpaceDN/>
        <w:bidi w:val="0"/>
        <w:adjustRightInd/>
        <w:snapToGrid/>
        <w:spacing w:line="288" w:lineRule="auto"/>
        <w:ind w:firstLine="420"/>
        <w:rPr>
          <w:rFonts w:hint="eastAsia" w:ascii="仿宋" w:hAnsi="仿宋" w:eastAsia="仿宋" w:cs="仿宋"/>
          <w:color w:val="auto"/>
          <w:sz w:val="24"/>
          <w:szCs w:val="24"/>
          <w:shd w:val="clear" w:fill="FFFFFF"/>
        </w:rPr>
      </w:pPr>
      <w:r>
        <w:rPr>
          <w:rFonts w:hint="eastAsia" w:ascii="仿宋" w:hAnsi="仿宋" w:eastAsia="仿宋" w:cs="仿宋"/>
          <w:color w:val="auto"/>
          <w:sz w:val="24"/>
          <w:szCs w:val="24"/>
          <w:shd w:val="clear" w:fill="FFFFFF"/>
        </w:rPr>
        <w:t>（1）采购人因绿化养护工作被红、黄牌或被通报的，采购人下达第一次书面整改通知予以核减养护服务费2000-5000元，直接从当月绿化养护服务费中扣除；</w:t>
      </w:r>
    </w:p>
    <w:p>
      <w:pPr>
        <w:pStyle w:val="17"/>
        <w:keepNext w:val="0"/>
        <w:keepLines w:val="0"/>
        <w:pageBreakBefore w:val="0"/>
        <w:kinsoku/>
        <w:wordWrap/>
        <w:overflowPunct/>
        <w:topLinePunct w:val="0"/>
        <w:autoSpaceDE/>
        <w:autoSpaceDN/>
        <w:bidi w:val="0"/>
        <w:adjustRightInd/>
        <w:snapToGrid/>
        <w:spacing w:line="288" w:lineRule="auto"/>
        <w:ind w:firstLine="420"/>
        <w:rPr>
          <w:rFonts w:hint="eastAsia" w:ascii="仿宋" w:hAnsi="仿宋" w:eastAsia="仿宋" w:cs="仿宋"/>
          <w:color w:val="auto"/>
          <w:sz w:val="24"/>
          <w:szCs w:val="24"/>
          <w:shd w:val="clear" w:fill="FFFFFF"/>
        </w:rPr>
      </w:pPr>
      <w:r>
        <w:rPr>
          <w:rFonts w:hint="eastAsia" w:ascii="仿宋" w:hAnsi="仿宋" w:eastAsia="仿宋" w:cs="仿宋"/>
          <w:color w:val="auto"/>
          <w:sz w:val="24"/>
          <w:szCs w:val="24"/>
          <w:shd w:val="clear" w:fill="FFFFFF"/>
        </w:rPr>
        <w:t>（2）若因中标人未按规定时间内整改到位，被通报2次，采购人下达第二次书面整改通知予以核减养护费10000元，直接从当月绿化养护服务费中扣除；</w:t>
      </w:r>
    </w:p>
    <w:p>
      <w:pPr>
        <w:pStyle w:val="17"/>
        <w:keepNext w:val="0"/>
        <w:keepLines w:val="0"/>
        <w:pageBreakBefore w:val="0"/>
        <w:kinsoku/>
        <w:wordWrap/>
        <w:overflowPunct/>
        <w:topLinePunct w:val="0"/>
        <w:autoSpaceDE/>
        <w:autoSpaceDN/>
        <w:bidi w:val="0"/>
        <w:adjustRightInd/>
        <w:snapToGrid/>
        <w:spacing w:line="288" w:lineRule="auto"/>
        <w:ind w:firstLine="420"/>
        <w:rPr>
          <w:rFonts w:hint="eastAsia" w:ascii="仿宋" w:hAnsi="仿宋" w:eastAsia="仿宋" w:cs="仿宋"/>
          <w:color w:val="auto"/>
          <w:sz w:val="24"/>
          <w:szCs w:val="24"/>
          <w:shd w:val="clear" w:fill="FFFFFF"/>
        </w:rPr>
      </w:pPr>
      <w:r>
        <w:rPr>
          <w:rFonts w:hint="eastAsia" w:ascii="仿宋" w:hAnsi="仿宋" w:eastAsia="仿宋" w:cs="仿宋"/>
          <w:color w:val="auto"/>
          <w:sz w:val="24"/>
          <w:szCs w:val="24"/>
          <w:shd w:val="clear" w:fill="FFFFFF"/>
        </w:rPr>
        <w:t>（3）采购人因绿化养护工作被红、黄牌警告2次或被通报3次，采购人有权终止合同并予以核减养护服务费15000元，直接从履约保证金中扣除。</w:t>
      </w:r>
    </w:p>
    <w:p>
      <w:pPr>
        <w:pStyle w:val="17"/>
        <w:keepNext w:val="0"/>
        <w:keepLines w:val="0"/>
        <w:pageBreakBefore w:val="0"/>
        <w:kinsoku/>
        <w:wordWrap/>
        <w:overflowPunct/>
        <w:topLinePunct w:val="0"/>
        <w:autoSpaceDE/>
        <w:autoSpaceDN/>
        <w:bidi w:val="0"/>
        <w:adjustRightInd/>
        <w:snapToGrid/>
        <w:spacing w:line="288" w:lineRule="auto"/>
        <w:ind w:firstLine="420"/>
        <w:rPr>
          <w:rFonts w:hint="eastAsia" w:ascii="仿宋" w:hAnsi="仿宋" w:eastAsia="仿宋" w:cs="仿宋"/>
          <w:color w:val="auto"/>
          <w:sz w:val="24"/>
          <w:szCs w:val="24"/>
        </w:rPr>
      </w:pPr>
      <w:r>
        <w:rPr>
          <w:rFonts w:hint="eastAsia" w:ascii="仿宋" w:hAnsi="仿宋" w:eastAsia="仿宋" w:cs="仿宋"/>
          <w:color w:val="auto"/>
          <w:sz w:val="24"/>
          <w:szCs w:val="24"/>
          <w:shd w:val="clear" w:fill="FFFFFF"/>
          <w:lang w:val="en-US" w:eastAsia="zh-CN"/>
        </w:rPr>
        <w:t>3.</w:t>
      </w:r>
      <w:r>
        <w:rPr>
          <w:rFonts w:hint="eastAsia" w:ascii="仿宋" w:hAnsi="仿宋" w:eastAsia="仿宋" w:cs="仿宋"/>
          <w:color w:val="auto"/>
          <w:sz w:val="24"/>
          <w:szCs w:val="24"/>
          <w:shd w:val="clear" w:fill="FFFFFF"/>
        </w:rPr>
        <w:t>如在日常工作中机械、车辆未应采购人要求到场，采购人有权视情况采取核减养护费处理：机械按每次500元/件，车辆按每次2000元/辆进行扣款，在当月绿化养护经费中直接扣除并在当期考核周期中进行扣分；如在抢险救灾时未及时响应采购人要求，采购人有权视情况进行扣款，人员按每次500元/人，机械按每次1000元/件，车辆按每次3000元/辆进行扣款，在当月绿化养护经费中直接扣除并在当期考核周期中进行扣分。</w:t>
      </w:r>
    </w:p>
    <w:p>
      <w:pPr>
        <w:pStyle w:val="17"/>
        <w:keepNext w:val="0"/>
        <w:keepLines w:val="0"/>
        <w:pageBreakBefore w:val="0"/>
        <w:kinsoku/>
        <w:wordWrap/>
        <w:overflowPunct/>
        <w:topLinePunct w:val="0"/>
        <w:autoSpaceDE/>
        <w:autoSpaceDN/>
        <w:bidi w:val="0"/>
        <w:adjustRightInd/>
        <w:snapToGrid/>
        <w:spacing w:line="288" w:lineRule="auto"/>
        <w:ind w:firstLine="420"/>
        <w:rPr>
          <w:rFonts w:hint="eastAsia" w:ascii="仿宋" w:hAnsi="仿宋" w:eastAsia="仿宋" w:cs="仿宋"/>
          <w:color w:val="auto"/>
          <w:sz w:val="24"/>
          <w:szCs w:val="24"/>
          <w:shd w:val="clear" w:fill="FFFFFF"/>
        </w:rPr>
      </w:pPr>
      <w:r>
        <w:rPr>
          <w:rFonts w:hint="eastAsia" w:ascii="仿宋" w:hAnsi="仿宋" w:eastAsia="仿宋" w:cs="仿宋"/>
          <w:color w:val="auto"/>
          <w:sz w:val="24"/>
          <w:szCs w:val="24"/>
          <w:shd w:val="clear" w:fill="FFFFFF"/>
          <w:lang w:val="en-US" w:eastAsia="zh-CN"/>
        </w:rPr>
        <w:t>4.</w:t>
      </w:r>
      <w:r>
        <w:rPr>
          <w:rFonts w:hint="eastAsia" w:ascii="仿宋" w:hAnsi="仿宋" w:eastAsia="仿宋" w:cs="仿宋"/>
          <w:color w:val="auto"/>
          <w:sz w:val="24"/>
          <w:szCs w:val="24"/>
          <w:shd w:val="clear" w:fill="FFFFFF"/>
        </w:rPr>
        <w:t>关于数字城管、12345投诉、媒体曝光等投诉的相关处理细则：</w:t>
      </w:r>
    </w:p>
    <w:p>
      <w:pPr>
        <w:pStyle w:val="17"/>
        <w:keepNext w:val="0"/>
        <w:keepLines w:val="0"/>
        <w:pageBreakBefore w:val="0"/>
        <w:kinsoku/>
        <w:wordWrap/>
        <w:overflowPunct/>
        <w:topLinePunct w:val="0"/>
        <w:autoSpaceDE/>
        <w:autoSpaceDN/>
        <w:bidi w:val="0"/>
        <w:adjustRightInd/>
        <w:snapToGrid/>
        <w:spacing w:line="288" w:lineRule="auto"/>
        <w:ind w:firstLine="420"/>
        <w:rPr>
          <w:rFonts w:hint="eastAsia" w:ascii="仿宋" w:hAnsi="仿宋" w:eastAsia="仿宋" w:cs="仿宋"/>
          <w:color w:val="auto"/>
          <w:sz w:val="24"/>
          <w:szCs w:val="24"/>
          <w:shd w:val="clear" w:fill="FFFFFF"/>
        </w:rPr>
      </w:pPr>
      <w:r>
        <w:rPr>
          <w:rFonts w:hint="eastAsia" w:ascii="仿宋" w:hAnsi="仿宋" w:eastAsia="仿宋" w:cs="仿宋"/>
          <w:color w:val="auto"/>
          <w:sz w:val="24"/>
          <w:szCs w:val="24"/>
          <w:shd w:val="clear" w:fill="FFFFFF"/>
        </w:rPr>
        <w:t>（1）数字城管和12345的案件接件由采购人负责，中标人按规定时间书面反馈及处理。</w:t>
      </w:r>
    </w:p>
    <w:p>
      <w:pPr>
        <w:pStyle w:val="17"/>
        <w:keepNext w:val="0"/>
        <w:keepLines w:val="0"/>
        <w:pageBreakBefore w:val="0"/>
        <w:kinsoku/>
        <w:wordWrap/>
        <w:overflowPunct/>
        <w:topLinePunct w:val="0"/>
        <w:autoSpaceDE/>
        <w:autoSpaceDN/>
        <w:bidi w:val="0"/>
        <w:adjustRightInd/>
        <w:snapToGrid/>
        <w:spacing w:line="288" w:lineRule="auto"/>
        <w:ind w:firstLine="420"/>
        <w:rPr>
          <w:rFonts w:hint="eastAsia" w:ascii="仿宋" w:hAnsi="仿宋" w:eastAsia="仿宋" w:cs="仿宋"/>
          <w:color w:val="auto"/>
          <w:sz w:val="24"/>
          <w:szCs w:val="24"/>
          <w:shd w:val="clear" w:fill="FFFFFF"/>
        </w:rPr>
      </w:pPr>
      <w:r>
        <w:rPr>
          <w:rFonts w:hint="eastAsia" w:ascii="仿宋" w:hAnsi="仿宋" w:eastAsia="仿宋" w:cs="仿宋"/>
          <w:color w:val="auto"/>
          <w:sz w:val="24"/>
          <w:szCs w:val="24"/>
          <w:shd w:val="clear" w:fill="FFFFFF"/>
        </w:rPr>
        <w:t>（2）若因中标人未按规定时间内整改到位，采购人再次接到相同的</w:t>
      </w:r>
      <w:r>
        <w:rPr>
          <w:rFonts w:hint="eastAsia" w:ascii="仿宋" w:hAnsi="仿宋" w:eastAsia="仿宋" w:cs="仿宋"/>
          <w:color w:val="auto"/>
          <w:sz w:val="24"/>
          <w:szCs w:val="24"/>
          <w:shd w:val="clear" w:fill="FFFFFF"/>
          <w:lang w:eastAsia="zh-CN"/>
        </w:rPr>
        <w:t>投诉</w:t>
      </w:r>
      <w:r>
        <w:rPr>
          <w:rFonts w:hint="eastAsia" w:ascii="仿宋" w:hAnsi="仿宋" w:eastAsia="仿宋" w:cs="仿宋"/>
          <w:color w:val="auto"/>
          <w:sz w:val="24"/>
          <w:szCs w:val="24"/>
          <w:shd w:val="clear" w:fill="FFFFFF"/>
        </w:rPr>
        <w:t>，对中标人核减养护服务费1000元，直接从当月绿化养护服务费中扣除。</w:t>
      </w:r>
    </w:p>
    <w:p>
      <w:pPr>
        <w:pStyle w:val="17"/>
        <w:keepNext w:val="0"/>
        <w:keepLines w:val="0"/>
        <w:pageBreakBefore w:val="0"/>
        <w:kinsoku/>
        <w:wordWrap/>
        <w:overflowPunct/>
        <w:topLinePunct w:val="0"/>
        <w:autoSpaceDE/>
        <w:autoSpaceDN/>
        <w:bidi w:val="0"/>
        <w:adjustRightInd/>
        <w:snapToGrid/>
        <w:spacing w:line="288" w:lineRule="auto"/>
        <w:ind w:firstLine="420"/>
        <w:rPr>
          <w:rFonts w:hint="eastAsia" w:ascii="仿宋" w:hAnsi="仿宋" w:eastAsia="仿宋" w:cs="仿宋"/>
          <w:color w:val="auto"/>
          <w:sz w:val="24"/>
          <w:szCs w:val="24"/>
          <w:shd w:val="clear" w:fill="FFFFFF"/>
          <w:lang w:eastAsia="zh-CN"/>
        </w:rPr>
      </w:pPr>
      <w:r>
        <w:rPr>
          <w:rFonts w:hint="eastAsia" w:ascii="仿宋" w:hAnsi="仿宋" w:eastAsia="仿宋" w:cs="仿宋"/>
          <w:color w:val="auto"/>
          <w:sz w:val="24"/>
          <w:szCs w:val="24"/>
          <w:shd w:val="clear" w:fill="FFFFFF"/>
        </w:rPr>
        <w:t>（3）若因中标人未按规定时间内整改到位，采购人受到处罚，采购人有权解除养护服务合同并视情对中标人处以采购人罚金1-2倍数额的处罚，罚金由履约保证金中扣除，不足部分采购人可向中标人要求进行经济赔偿</w:t>
      </w:r>
      <w:r>
        <w:rPr>
          <w:rFonts w:hint="eastAsia" w:ascii="仿宋" w:hAnsi="仿宋" w:eastAsia="仿宋" w:cs="仿宋"/>
          <w:color w:val="auto"/>
          <w:sz w:val="24"/>
          <w:szCs w:val="24"/>
          <w:shd w:val="clear" w:fill="FFFFFF"/>
          <w:lang w:eastAsia="zh-CN"/>
        </w:rPr>
        <w:t>。</w:t>
      </w:r>
    </w:p>
    <w:p>
      <w:pPr>
        <w:pStyle w:val="17"/>
        <w:keepNext w:val="0"/>
        <w:keepLines w:val="0"/>
        <w:pageBreakBefore w:val="0"/>
        <w:kinsoku/>
        <w:wordWrap/>
        <w:overflowPunct/>
        <w:topLinePunct w:val="0"/>
        <w:autoSpaceDE/>
        <w:autoSpaceDN/>
        <w:bidi w:val="0"/>
        <w:adjustRightInd/>
        <w:snapToGrid/>
        <w:spacing w:line="288" w:lineRule="auto"/>
        <w:ind w:firstLine="420"/>
        <w:rPr>
          <w:rFonts w:hint="eastAsia" w:ascii="仿宋" w:hAnsi="仿宋" w:eastAsia="仿宋" w:cs="仿宋"/>
          <w:color w:val="auto"/>
          <w:sz w:val="24"/>
          <w:szCs w:val="24"/>
          <w:shd w:val="clear" w:fill="FFFFFF"/>
          <w:lang w:eastAsia="zh-CN"/>
        </w:rPr>
      </w:pPr>
      <w:r>
        <w:rPr>
          <w:rFonts w:hint="eastAsia" w:ascii="仿宋" w:hAnsi="仿宋" w:eastAsia="仿宋" w:cs="仿宋"/>
          <w:color w:val="auto"/>
          <w:sz w:val="24"/>
          <w:szCs w:val="24"/>
          <w:shd w:val="clear" w:fill="FFFFFF"/>
          <w:lang w:val="en-US" w:eastAsia="zh-CN"/>
        </w:rPr>
        <w:t>5.</w:t>
      </w:r>
      <w:r>
        <w:rPr>
          <w:rFonts w:hint="eastAsia" w:ascii="仿宋" w:hAnsi="仿宋" w:eastAsia="仿宋" w:cs="仿宋"/>
          <w:color w:val="auto"/>
          <w:sz w:val="24"/>
          <w:szCs w:val="24"/>
          <w:shd w:val="clear" w:fill="FFFFFF"/>
        </w:rPr>
        <w:t>因中标人原因造成园林设施损坏未按照采购人要求及时修复的，采购人以书面整改通知；采购人下达第一次书面整改通知未及时修复的，核减养护服务费1000元；采购人下达第二次书面整改通知未及时修复的，核减养护服务费3000元；采购人下达第三次书面整改通知未及时修复的，核减养护服务费5000元。</w:t>
      </w:r>
      <w:r>
        <w:rPr>
          <w:rFonts w:hint="eastAsia" w:ascii="仿宋" w:hAnsi="仿宋" w:eastAsia="仿宋" w:cs="仿宋"/>
          <w:color w:val="auto"/>
          <w:sz w:val="24"/>
          <w:szCs w:val="24"/>
        </w:rPr>
        <w:t>若造成采购人经济损失的，</w:t>
      </w:r>
      <w:r>
        <w:rPr>
          <w:rFonts w:hint="eastAsia" w:ascii="仿宋" w:hAnsi="仿宋" w:eastAsia="仿宋" w:cs="仿宋"/>
          <w:color w:val="auto"/>
          <w:sz w:val="24"/>
          <w:szCs w:val="24"/>
          <w:shd w:val="clear" w:fill="FFFFFF"/>
        </w:rPr>
        <w:t>并视情对中标人处以采购人损失金额的1-2倍数额的处罚。直接从当月绿化养护经费中扣除</w:t>
      </w:r>
      <w:r>
        <w:rPr>
          <w:rFonts w:hint="eastAsia" w:ascii="仿宋" w:hAnsi="仿宋" w:eastAsia="仿宋" w:cs="仿宋"/>
          <w:color w:val="auto"/>
          <w:sz w:val="24"/>
          <w:szCs w:val="24"/>
          <w:shd w:val="clear" w:fill="FFFFFF"/>
          <w:lang w:eastAsia="zh-CN"/>
        </w:rPr>
        <w:t>，</w:t>
      </w:r>
      <w:r>
        <w:rPr>
          <w:rFonts w:hint="eastAsia" w:ascii="仿宋" w:hAnsi="仿宋" w:eastAsia="仿宋" w:cs="仿宋"/>
          <w:color w:val="auto"/>
          <w:sz w:val="24"/>
          <w:szCs w:val="24"/>
          <w:shd w:val="clear" w:fill="FFFFFF"/>
        </w:rPr>
        <w:t>不足部分采购人可向中标人要求进行经济赔偿</w:t>
      </w:r>
      <w:r>
        <w:rPr>
          <w:rFonts w:hint="eastAsia" w:ascii="仿宋" w:hAnsi="仿宋" w:eastAsia="仿宋" w:cs="仿宋"/>
          <w:color w:val="auto"/>
          <w:sz w:val="24"/>
          <w:szCs w:val="24"/>
          <w:shd w:val="clear" w:fill="FFFFFF"/>
          <w:lang w:eastAsia="zh-CN"/>
        </w:rPr>
        <w:t>。</w:t>
      </w:r>
    </w:p>
    <w:p>
      <w:pPr>
        <w:pStyle w:val="17"/>
        <w:keepNext w:val="0"/>
        <w:keepLines w:val="0"/>
        <w:pageBreakBefore w:val="0"/>
        <w:kinsoku/>
        <w:wordWrap/>
        <w:overflowPunct/>
        <w:topLinePunct w:val="0"/>
        <w:autoSpaceDE/>
        <w:autoSpaceDN/>
        <w:bidi w:val="0"/>
        <w:adjustRightInd/>
        <w:snapToGrid/>
        <w:spacing w:line="288"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shd w:val="clear" w:fill="FFFFFF"/>
          <w:lang w:val="en-US" w:eastAsia="zh-CN"/>
        </w:rPr>
        <w:t>(八)</w:t>
      </w:r>
      <w:r>
        <w:rPr>
          <w:rFonts w:hint="eastAsia" w:ascii="仿宋" w:hAnsi="仿宋" w:eastAsia="仿宋" w:cs="仿宋"/>
          <w:b w:val="0"/>
          <w:bCs w:val="0"/>
          <w:color w:val="auto"/>
          <w:sz w:val="24"/>
          <w:szCs w:val="24"/>
          <w:shd w:val="clear" w:fill="FFFFFF"/>
        </w:rPr>
        <w:t>其他要求</w:t>
      </w:r>
    </w:p>
    <w:p>
      <w:pPr>
        <w:pStyle w:val="17"/>
        <w:keepNext w:val="0"/>
        <w:keepLines w:val="0"/>
        <w:pageBreakBefore w:val="0"/>
        <w:kinsoku/>
        <w:wordWrap/>
        <w:overflowPunct/>
        <w:topLinePunct w:val="0"/>
        <w:autoSpaceDE/>
        <w:autoSpaceDN/>
        <w:bidi w:val="0"/>
        <w:adjustRightInd/>
        <w:snapToGrid/>
        <w:spacing w:line="288" w:lineRule="auto"/>
        <w:ind w:firstLine="420"/>
        <w:rPr>
          <w:rFonts w:hint="eastAsia" w:ascii="仿宋" w:hAnsi="仿宋" w:eastAsia="仿宋" w:cs="仿宋"/>
          <w:color w:val="auto"/>
          <w:sz w:val="24"/>
          <w:szCs w:val="24"/>
          <w:shd w:val="clear" w:fill="FFFFFF"/>
        </w:rPr>
      </w:pPr>
      <w:r>
        <w:rPr>
          <w:rFonts w:hint="eastAsia" w:ascii="仿宋" w:hAnsi="仿宋" w:eastAsia="仿宋" w:cs="仿宋"/>
          <w:color w:val="auto"/>
          <w:sz w:val="24"/>
          <w:szCs w:val="24"/>
          <w:shd w:val="clear" w:fill="FFFFFF"/>
          <w:lang w:val="en-US" w:eastAsia="zh-CN"/>
        </w:rPr>
        <w:t>1.</w:t>
      </w:r>
      <w:r>
        <w:rPr>
          <w:rFonts w:hint="eastAsia" w:ascii="仿宋" w:hAnsi="仿宋" w:eastAsia="仿宋" w:cs="仿宋"/>
          <w:color w:val="auto"/>
          <w:sz w:val="24"/>
          <w:szCs w:val="24"/>
          <w:shd w:val="clear" w:fill="FFFFFF"/>
        </w:rPr>
        <w:t>投标人应根据招标要求提供其为本项目所设计的养护实施方案(包括文明作业、安全作业、应对重大活动和检查评比的保障措施等)、项目管理班子、员工配备情况、服务承诺、投入设备清单。</w:t>
      </w:r>
    </w:p>
    <w:p>
      <w:pPr>
        <w:pStyle w:val="17"/>
        <w:keepNext w:val="0"/>
        <w:keepLines w:val="0"/>
        <w:pageBreakBefore w:val="0"/>
        <w:kinsoku/>
        <w:wordWrap/>
        <w:overflowPunct/>
        <w:topLinePunct w:val="0"/>
        <w:autoSpaceDE/>
        <w:autoSpaceDN/>
        <w:bidi w:val="0"/>
        <w:adjustRightInd/>
        <w:snapToGrid/>
        <w:spacing w:line="288" w:lineRule="auto"/>
        <w:ind w:firstLine="420"/>
        <w:rPr>
          <w:rFonts w:hint="eastAsia" w:ascii="仿宋" w:hAnsi="仿宋" w:eastAsia="仿宋" w:cs="仿宋"/>
          <w:color w:val="auto"/>
          <w:sz w:val="24"/>
          <w:szCs w:val="24"/>
          <w:shd w:val="clear" w:fill="FFFFFF"/>
        </w:rPr>
      </w:pPr>
      <w:r>
        <w:rPr>
          <w:rFonts w:hint="eastAsia" w:ascii="仿宋" w:hAnsi="仿宋" w:eastAsia="仿宋" w:cs="仿宋"/>
          <w:color w:val="auto"/>
          <w:sz w:val="24"/>
          <w:szCs w:val="24"/>
          <w:shd w:val="clear" w:fill="FFFFFF"/>
          <w:lang w:val="en-US" w:eastAsia="zh-CN"/>
        </w:rPr>
        <w:t>2.</w:t>
      </w:r>
      <w:r>
        <w:rPr>
          <w:rFonts w:hint="eastAsia" w:ascii="仿宋" w:hAnsi="仿宋" w:eastAsia="仿宋" w:cs="仿宋"/>
          <w:color w:val="auto"/>
          <w:sz w:val="24"/>
          <w:szCs w:val="24"/>
          <w:shd w:val="clear" w:fill="FFFFFF"/>
        </w:rPr>
        <w:t>因中标人原因发生重大质量事故，除依约承担赔偿责任外，还将按有关质量管理办法规定执行。同时，采购人有权保留更换中标人的权利，并报相关行政主管部门处罚。</w:t>
      </w:r>
    </w:p>
    <w:p>
      <w:pPr>
        <w:pStyle w:val="17"/>
        <w:keepNext w:val="0"/>
        <w:keepLines w:val="0"/>
        <w:pageBreakBefore w:val="0"/>
        <w:kinsoku/>
        <w:wordWrap/>
        <w:overflowPunct/>
        <w:topLinePunct w:val="0"/>
        <w:autoSpaceDE/>
        <w:autoSpaceDN/>
        <w:bidi w:val="0"/>
        <w:adjustRightInd/>
        <w:snapToGrid/>
        <w:spacing w:line="288" w:lineRule="auto"/>
        <w:ind w:firstLine="420"/>
        <w:rPr>
          <w:rFonts w:hint="eastAsia" w:ascii="仿宋" w:hAnsi="仿宋" w:eastAsia="仿宋" w:cs="仿宋"/>
          <w:color w:val="auto"/>
          <w:sz w:val="24"/>
          <w:szCs w:val="24"/>
          <w:shd w:val="clear" w:fill="FFFFFF"/>
        </w:rPr>
      </w:pPr>
      <w:r>
        <w:rPr>
          <w:rFonts w:hint="eastAsia" w:ascii="仿宋" w:hAnsi="仿宋" w:eastAsia="仿宋" w:cs="仿宋"/>
          <w:color w:val="auto"/>
          <w:sz w:val="24"/>
          <w:szCs w:val="24"/>
          <w:shd w:val="clear" w:fill="FFFFFF"/>
          <w:lang w:val="en-US" w:eastAsia="zh-CN"/>
        </w:rPr>
        <w:t>3.</w:t>
      </w:r>
      <w:r>
        <w:rPr>
          <w:rFonts w:hint="eastAsia" w:ascii="仿宋" w:hAnsi="仿宋" w:eastAsia="仿宋" w:cs="仿宋"/>
          <w:color w:val="auto"/>
          <w:sz w:val="24"/>
          <w:szCs w:val="24"/>
          <w:shd w:val="clear" w:fill="FFFFFF"/>
        </w:rPr>
        <w:t>中标人在绿化养护过程中所需的水、电由采购人负责，其产生的费用由采购人承担。</w:t>
      </w:r>
    </w:p>
    <w:p>
      <w:pPr>
        <w:pStyle w:val="17"/>
        <w:keepNext w:val="0"/>
        <w:keepLines w:val="0"/>
        <w:pageBreakBefore w:val="0"/>
        <w:kinsoku/>
        <w:wordWrap/>
        <w:overflowPunct/>
        <w:topLinePunct w:val="0"/>
        <w:autoSpaceDE/>
        <w:autoSpaceDN/>
        <w:bidi w:val="0"/>
        <w:adjustRightInd/>
        <w:snapToGrid/>
        <w:spacing w:line="288" w:lineRule="auto"/>
        <w:ind w:firstLine="420"/>
        <w:rPr>
          <w:rFonts w:hint="eastAsia" w:ascii="仿宋" w:hAnsi="仿宋" w:eastAsia="仿宋" w:cs="仿宋"/>
          <w:color w:val="auto"/>
          <w:sz w:val="24"/>
          <w:szCs w:val="24"/>
          <w:shd w:val="clear" w:fill="FFFFFF"/>
        </w:rPr>
      </w:pPr>
      <w:r>
        <w:rPr>
          <w:rFonts w:hint="eastAsia" w:ascii="仿宋" w:hAnsi="仿宋" w:eastAsia="仿宋" w:cs="仿宋"/>
          <w:color w:val="auto"/>
          <w:sz w:val="24"/>
          <w:szCs w:val="24"/>
          <w:shd w:val="clear" w:fill="FFFFFF"/>
          <w:lang w:val="en-US" w:eastAsia="zh-CN"/>
        </w:rPr>
        <w:t>4.</w:t>
      </w:r>
      <w:r>
        <w:rPr>
          <w:rFonts w:hint="eastAsia" w:ascii="仿宋" w:hAnsi="仿宋" w:eastAsia="仿宋" w:cs="仿宋"/>
          <w:color w:val="auto"/>
          <w:sz w:val="24"/>
          <w:szCs w:val="24"/>
          <w:shd w:val="clear" w:fill="FFFFFF"/>
        </w:rPr>
        <w:t>承包期内发生的一切安全事故，如治安、交通事故、第三方伤害赔偿和劳资纠纷等，均由中标人承担。发现人为破坏绿化和设施的，应当及时制止并上报，并严格按照采购人要求执行。</w:t>
      </w:r>
    </w:p>
    <w:p>
      <w:pPr>
        <w:pStyle w:val="17"/>
        <w:keepNext w:val="0"/>
        <w:keepLines w:val="0"/>
        <w:pageBreakBefore w:val="0"/>
        <w:kinsoku/>
        <w:wordWrap/>
        <w:overflowPunct/>
        <w:topLinePunct w:val="0"/>
        <w:autoSpaceDE/>
        <w:autoSpaceDN/>
        <w:bidi w:val="0"/>
        <w:adjustRightInd/>
        <w:snapToGrid/>
        <w:spacing w:line="288" w:lineRule="auto"/>
        <w:ind w:firstLine="480"/>
        <w:rPr>
          <w:rFonts w:hint="eastAsia" w:ascii="仿宋" w:hAnsi="仿宋" w:eastAsia="仿宋" w:cs="仿宋"/>
          <w:color w:val="auto"/>
          <w:sz w:val="24"/>
          <w:szCs w:val="24"/>
        </w:rPr>
      </w:pPr>
      <w:r>
        <w:rPr>
          <w:rFonts w:hint="eastAsia" w:ascii="仿宋" w:hAnsi="仿宋" w:eastAsia="仿宋" w:cs="仿宋"/>
          <w:color w:val="auto"/>
          <w:sz w:val="24"/>
          <w:szCs w:val="24"/>
          <w:shd w:val="clear" w:fill="FFFFFF"/>
          <w:lang w:val="en-US" w:eastAsia="zh-CN"/>
        </w:rPr>
        <w:t>5.</w:t>
      </w:r>
      <w:r>
        <w:rPr>
          <w:rFonts w:hint="eastAsia" w:ascii="仿宋" w:hAnsi="仿宋" w:eastAsia="仿宋" w:cs="仿宋"/>
          <w:color w:val="auto"/>
          <w:sz w:val="24"/>
          <w:szCs w:val="24"/>
          <w:shd w:val="clear" w:fill="FFFFFF"/>
        </w:rPr>
        <w:t>中标后，采购人有权对中标人的提供的材料进行核查，中标人应无条件配合采购人的核查工作，不得托词拒绝提供材料核查或隐瞒真实情况。若采购人发现中标人提供虚假材料谋取中标或承诺的内容与真实情况不一致等违法违规行为，采购人有权取消其合同签订或终止合同，因此给采购人造成损失的，中标人须另行支付相应的赔偿。</w:t>
      </w:r>
    </w:p>
    <w:p>
      <w:pPr>
        <w:pStyle w:val="17"/>
        <w:keepNext w:val="0"/>
        <w:keepLines w:val="0"/>
        <w:pageBreakBefore w:val="0"/>
        <w:kinsoku/>
        <w:wordWrap/>
        <w:overflowPunct/>
        <w:topLinePunct w:val="0"/>
        <w:autoSpaceDE/>
        <w:autoSpaceDN/>
        <w:bidi w:val="0"/>
        <w:adjustRightInd/>
        <w:snapToGrid/>
        <w:spacing w:line="288" w:lineRule="auto"/>
        <w:ind w:firstLine="380"/>
        <w:jc w:val="left"/>
        <w:rPr>
          <w:rFonts w:hint="eastAsia" w:ascii="仿宋" w:hAnsi="仿宋" w:eastAsia="仿宋" w:cs="仿宋"/>
          <w:color w:val="auto"/>
          <w:sz w:val="24"/>
          <w:szCs w:val="24"/>
        </w:rPr>
      </w:pPr>
      <w:r>
        <w:rPr>
          <w:rFonts w:hint="eastAsia" w:ascii="仿宋" w:hAnsi="仿宋" w:eastAsia="仿宋" w:cs="仿宋"/>
          <w:color w:val="auto"/>
          <w:sz w:val="24"/>
          <w:szCs w:val="24"/>
          <w:shd w:val="clear" w:fill="FFFFFF"/>
          <w:lang w:val="en-US" w:eastAsia="zh-CN"/>
        </w:rPr>
        <w:t>6.</w:t>
      </w:r>
      <w:r>
        <w:rPr>
          <w:rFonts w:hint="eastAsia" w:ascii="仿宋" w:hAnsi="仿宋" w:eastAsia="仿宋" w:cs="仿宋"/>
          <w:color w:val="auto"/>
          <w:sz w:val="24"/>
          <w:szCs w:val="24"/>
          <w:shd w:val="clear" w:fill="FFFFFF"/>
        </w:rPr>
        <w:t>因项目所在地属于台风多发地带，</w:t>
      </w:r>
      <w:r>
        <w:rPr>
          <w:rFonts w:hint="eastAsia" w:ascii="仿宋" w:hAnsi="仿宋" w:eastAsia="仿宋" w:cs="仿宋"/>
          <w:color w:val="auto"/>
          <w:sz w:val="24"/>
          <w:szCs w:val="24"/>
        </w:rPr>
        <w:t>在台风、暴雨等重大自然灾害期间，中标人需服从采购人及采购人上级单位的工作安排，接到任务通知后，临时承担西三环路（淮安大桥至湾边大桥段）两侧辅路的应急抢险任务。</w:t>
      </w:r>
      <w:r>
        <w:rPr>
          <w:rFonts w:hint="eastAsia" w:ascii="仿宋" w:hAnsi="仿宋" w:eastAsia="仿宋" w:cs="仿宋"/>
          <w:color w:val="auto"/>
          <w:sz w:val="24"/>
          <w:szCs w:val="24"/>
          <w:shd w:val="clear" w:fill="FFFFFF"/>
        </w:rPr>
        <w:t>为保障更好地应对各种突发情况，</w:t>
      </w:r>
      <w:r>
        <w:rPr>
          <w:rFonts w:hint="eastAsia" w:ascii="仿宋" w:hAnsi="仿宋" w:eastAsia="仿宋" w:cs="仿宋"/>
          <w:color w:val="auto"/>
          <w:sz w:val="24"/>
          <w:szCs w:val="24"/>
        </w:rPr>
        <w:t>投标人在接到采购人通知后需在2-6小时内到场处理。</w:t>
      </w:r>
    </w:p>
    <w:p>
      <w:pPr>
        <w:keepNext w:val="0"/>
        <w:keepLines w:val="0"/>
        <w:pageBreakBefore w:val="0"/>
        <w:numPr>
          <w:ilvl w:val="0"/>
          <w:numId w:val="0"/>
        </w:numPr>
        <w:kinsoku/>
        <w:wordWrap/>
        <w:overflowPunct/>
        <w:topLinePunct w:val="0"/>
        <w:autoSpaceDE/>
        <w:autoSpaceDN/>
        <w:bidi w:val="0"/>
        <w:adjustRightInd/>
        <w:snapToGrid/>
        <w:spacing w:line="288" w:lineRule="auto"/>
        <w:ind w:leftChars="0"/>
        <w:rPr>
          <w:rFonts w:hint="eastAsia" w:ascii="仿宋" w:hAnsi="仿宋" w:eastAsia="仿宋" w:cs="仿宋"/>
          <w:color w:val="auto"/>
          <w:sz w:val="24"/>
          <w:szCs w:val="24"/>
        </w:rPr>
      </w:pPr>
    </w:p>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（二）征集</w:t>
      </w:r>
      <w:r>
        <w:rPr>
          <w:rFonts w:hint="eastAsia" w:ascii="仿宋" w:hAnsi="仿宋" w:eastAsia="仿宋" w:cs="仿宋"/>
          <w:b/>
          <w:bCs/>
          <w:color w:val="auto"/>
          <w:sz w:val="24"/>
          <w:szCs w:val="24"/>
        </w:rPr>
        <w:t>单位</w:t>
      </w:r>
      <w:r>
        <w:rPr>
          <w:rFonts w:hint="eastAsia" w:ascii="仿宋" w:hAnsi="仿宋" w:eastAsia="仿宋" w:cs="仿宋"/>
          <w:b/>
          <w:bCs/>
          <w:color w:val="auto"/>
          <w:sz w:val="24"/>
          <w:szCs w:val="24"/>
          <w:lang w:eastAsia="zh-CN"/>
        </w:rPr>
        <w:t>的</w:t>
      </w:r>
      <w:r>
        <w:rPr>
          <w:rFonts w:hint="eastAsia" w:ascii="仿宋" w:hAnsi="仿宋" w:eastAsia="仿宋" w:cs="仿宋"/>
          <w:b/>
          <w:bCs/>
          <w:color w:val="auto"/>
          <w:sz w:val="24"/>
          <w:szCs w:val="24"/>
        </w:rPr>
        <w:t>资质条件（</w:t>
      </w:r>
      <w:r>
        <w:rPr>
          <w:rFonts w:hint="eastAsia" w:ascii="仿宋" w:hAnsi="仿宋" w:eastAsia="仿宋" w:cs="仿宋"/>
          <w:b/>
          <w:bCs/>
          <w:color w:val="auto"/>
          <w:sz w:val="24"/>
          <w:szCs w:val="24"/>
          <w:lang w:eastAsia="zh-CN"/>
        </w:rPr>
        <w:t>需</w:t>
      </w:r>
      <w:r>
        <w:rPr>
          <w:rFonts w:hint="eastAsia" w:ascii="仿宋" w:hAnsi="仿宋" w:eastAsia="仿宋" w:cs="仿宋"/>
          <w:b/>
          <w:bCs/>
          <w:color w:val="auto"/>
          <w:sz w:val="24"/>
          <w:szCs w:val="24"/>
        </w:rPr>
        <w:t>装订</w:t>
      </w:r>
      <w:r>
        <w:rPr>
          <w:rFonts w:hint="eastAsia" w:ascii="仿宋" w:hAnsi="仿宋" w:eastAsia="仿宋" w:cs="仿宋"/>
          <w:b/>
          <w:bCs/>
          <w:color w:val="auto"/>
          <w:sz w:val="24"/>
          <w:szCs w:val="24"/>
          <w:lang w:eastAsia="zh-CN"/>
        </w:rPr>
        <w:t>成册</w:t>
      </w:r>
      <w:r>
        <w:rPr>
          <w:rFonts w:hint="eastAsia" w:ascii="仿宋" w:hAnsi="仿宋" w:eastAsia="仿宋" w:cs="仿宋"/>
          <w:b/>
          <w:bCs/>
          <w:color w:val="auto"/>
          <w:sz w:val="24"/>
          <w:szCs w:val="24"/>
          <w:lang w:val="en-US" w:eastAsia="zh-CN"/>
        </w:rPr>
        <w:t>并</w:t>
      </w:r>
      <w:r>
        <w:rPr>
          <w:rFonts w:hint="eastAsia" w:ascii="仿宋" w:hAnsi="仿宋" w:eastAsia="仿宋" w:cs="仿宋"/>
          <w:b/>
          <w:bCs/>
          <w:color w:val="auto"/>
          <w:sz w:val="24"/>
          <w:szCs w:val="24"/>
        </w:rPr>
        <w:t>加盖单位公章）  </w:t>
      </w:r>
    </w:p>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rPr>
      </w:pPr>
      <w:r>
        <w:rPr>
          <w:rFonts w:hint="eastAsia" w:ascii="仿宋" w:hAnsi="仿宋" w:eastAsia="仿宋" w:cs="仿宋"/>
          <w:color w:val="auto"/>
          <w:sz w:val="24"/>
          <w:szCs w:val="24"/>
        </w:rPr>
        <w:t>1、具有相应经营范围的法人营业执照； </w:t>
      </w:r>
    </w:p>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rPr>
      </w:pPr>
      <w:r>
        <w:rPr>
          <w:rFonts w:hint="eastAsia" w:ascii="仿宋" w:hAnsi="仿宋" w:eastAsia="仿宋" w:cs="仿宋"/>
          <w:color w:val="auto"/>
          <w:sz w:val="24"/>
          <w:szCs w:val="24"/>
        </w:rPr>
        <w:t>2、法人及代理人身份证复印件一份（正反两面）。 </w:t>
      </w:r>
    </w:p>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rPr>
      </w:pPr>
      <w:r>
        <w:rPr>
          <w:rFonts w:hint="eastAsia" w:ascii="仿宋" w:hAnsi="仿宋" w:eastAsia="仿宋" w:cs="仿宋"/>
          <w:color w:val="auto"/>
          <w:sz w:val="24"/>
          <w:szCs w:val="24"/>
        </w:rPr>
        <w:t>3、法人授权书原件(若代理人与法人为同一人，无需提供此件)。</w:t>
      </w:r>
    </w:p>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rPr>
      </w:pPr>
      <w:r>
        <w:rPr>
          <w:rFonts w:hint="eastAsia" w:ascii="仿宋" w:hAnsi="仿宋" w:eastAsia="仿宋" w:cs="仿宋"/>
          <w:color w:val="auto"/>
          <w:sz w:val="24"/>
          <w:szCs w:val="24"/>
        </w:rPr>
        <w:t>4、参加</w:t>
      </w:r>
      <w:r>
        <w:rPr>
          <w:rFonts w:hint="eastAsia" w:ascii="仿宋" w:hAnsi="仿宋" w:eastAsia="仿宋" w:cs="仿宋"/>
          <w:color w:val="auto"/>
          <w:sz w:val="24"/>
          <w:szCs w:val="24"/>
          <w:lang w:eastAsia="zh-CN"/>
        </w:rPr>
        <w:t>政府采购活动</w:t>
      </w:r>
      <w:r>
        <w:rPr>
          <w:rFonts w:hint="eastAsia" w:ascii="仿宋" w:hAnsi="仿宋" w:eastAsia="仿宋" w:cs="仿宋"/>
          <w:color w:val="auto"/>
          <w:sz w:val="24"/>
          <w:szCs w:val="24"/>
        </w:rPr>
        <w:t>前三年内在经营活动中没有重大违法记录的书面声明，提供声明函；</w:t>
      </w:r>
    </w:p>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rPr>
      </w:pPr>
      <w:r>
        <w:rPr>
          <w:rFonts w:hint="eastAsia" w:ascii="仿宋" w:hAnsi="仿宋" w:eastAsia="仿宋" w:cs="仿宋"/>
          <w:color w:val="auto"/>
          <w:sz w:val="24"/>
          <w:szCs w:val="24"/>
        </w:rPr>
        <w:t>5、信用良好，提供方案征集截止时间前“信用中国”网站（www.creditchina.gov.cn）、中国政府采购网（www.ccgp.gov.cn）查询的信用记录。</w:t>
      </w:r>
    </w:p>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（三）意见</w:t>
      </w:r>
      <w:r>
        <w:rPr>
          <w:rFonts w:hint="eastAsia" w:ascii="仿宋" w:hAnsi="仿宋" w:eastAsia="仿宋" w:cs="仿宋"/>
          <w:b/>
          <w:bCs/>
          <w:color w:val="auto"/>
          <w:sz w:val="24"/>
          <w:szCs w:val="24"/>
        </w:rPr>
        <w:t>资料具体要求及相关注意事项  </w:t>
      </w:r>
    </w:p>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rPr>
      </w:pPr>
      <w:r>
        <w:rPr>
          <w:rFonts w:hint="eastAsia" w:ascii="仿宋" w:hAnsi="仿宋" w:eastAsia="仿宋" w:cs="仿宋"/>
          <w:color w:val="auto"/>
          <w:sz w:val="24"/>
          <w:szCs w:val="24"/>
        </w:rPr>
        <w:t>1、纸质材料正本一份、副本</w:t>
      </w:r>
      <w:r>
        <w:rPr>
          <w:rFonts w:hint="eastAsia" w:ascii="仿宋" w:hAnsi="仿宋" w:eastAsia="仿宋" w:cs="仿宋"/>
          <w:color w:val="auto"/>
          <w:sz w:val="24"/>
          <w:szCs w:val="24"/>
          <w:lang w:eastAsia="zh-CN"/>
        </w:rPr>
        <w:t>二</w:t>
      </w:r>
      <w:r>
        <w:rPr>
          <w:rFonts w:hint="eastAsia" w:ascii="仿宋" w:hAnsi="仿宋" w:eastAsia="仿宋" w:cs="仿宋"/>
          <w:color w:val="auto"/>
          <w:sz w:val="24"/>
          <w:szCs w:val="24"/>
        </w:rPr>
        <w:t>份，统一用A4纸打印。与正本内容一致的电子文档（word文档,以U盘形式保存）一份。</w:t>
      </w:r>
    </w:p>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纸质文档应胶装成册</w:t>
      </w:r>
      <w:r>
        <w:rPr>
          <w:rFonts w:hint="eastAsia" w:ascii="仿宋" w:hAnsi="仿宋" w:eastAsia="仿宋" w:cs="仿宋"/>
          <w:color w:val="auto"/>
          <w:sz w:val="24"/>
          <w:szCs w:val="24"/>
        </w:rPr>
        <w:t>与电子文档</w:t>
      </w:r>
      <w:r>
        <w:rPr>
          <w:rFonts w:hint="eastAsia" w:ascii="仿宋" w:hAnsi="仿宋" w:eastAsia="仿宋" w:cs="仿宋"/>
          <w:color w:val="auto"/>
          <w:sz w:val="24"/>
          <w:szCs w:val="24"/>
          <w:lang w:eastAsia="zh-CN"/>
        </w:rPr>
        <w:t>一同</w:t>
      </w:r>
      <w:r>
        <w:rPr>
          <w:rFonts w:hint="eastAsia" w:ascii="仿宋" w:hAnsi="仿宋" w:eastAsia="仿宋" w:cs="仿宋"/>
          <w:color w:val="auto"/>
          <w:sz w:val="24"/>
          <w:szCs w:val="24"/>
        </w:rPr>
        <w:t>装袋密封；</w:t>
      </w:r>
    </w:p>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、本次征集</w:t>
      </w:r>
      <w:r>
        <w:rPr>
          <w:rFonts w:hint="eastAsia" w:ascii="仿宋" w:hAnsi="仿宋" w:eastAsia="仿宋" w:cs="仿宋"/>
          <w:color w:val="auto"/>
          <w:sz w:val="24"/>
          <w:szCs w:val="24"/>
          <w:lang w:eastAsia="zh-CN"/>
        </w:rPr>
        <w:t>意见</w:t>
      </w:r>
      <w:r>
        <w:rPr>
          <w:rFonts w:hint="eastAsia" w:ascii="仿宋" w:hAnsi="仿宋" w:eastAsia="仿宋" w:cs="仿宋"/>
          <w:color w:val="auto"/>
          <w:sz w:val="24"/>
          <w:szCs w:val="24"/>
        </w:rPr>
        <w:t>费用自理，所有征集的</w:t>
      </w:r>
      <w:r>
        <w:rPr>
          <w:rFonts w:hint="eastAsia" w:ascii="仿宋" w:hAnsi="仿宋" w:eastAsia="仿宋" w:cs="仿宋"/>
          <w:color w:val="auto"/>
          <w:sz w:val="24"/>
          <w:szCs w:val="24"/>
          <w:lang w:eastAsia="zh-CN"/>
        </w:rPr>
        <w:t>意见</w:t>
      </w:r>
      <w:r>
        <w:rPr>
          <w:rFonts w:hint="eastAsia" w:ascii="仿宋" w:hAnsi="仿宋" w:eastAsia="仿宋" w:cs="仿宋"/>
          <w:color w:val="auto"/>
          <w:sz w:val="24"/>
          <w:szCs w:val="24"/>
        </w:rPr>
        <w:t>将无偿提供给</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使用。相关资料将作为</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采购时参考参数材料使用，非用于本项目采购供应商的确定，</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有权修改和使用，所提交的相关材料均不退还。</w:t>
      </w:r>
      <w:r>
        <w:rPr>
          <w:rFonts w:hint="eastAsia" w:ascii="仿宋" w:hAnsi="仿宋" w:eastAsia="仿宋" w:cs="仿宋"/>
          <w:color w:val="auto"/>
          <w:sz w:val="24"/>
          <w:szCs w:val="24"/>
          <w:lang w:eastAsia="zh-CN"/>
        </w:rPr>
        <w:t>参加</w:t>
      </w:r>
      <w:r>
        <w:rPr>
          <w:rFonts w:hint="eastAsia" w:ascii="仿宋" w:hAnsi="仿宋" w:eastAsia="仿宋" w:cs="仿宋"/>
          <w:color w:val="auto"/>
          <w:sz w:val="24"/>
          <w:szCs w:val="24"/>
        </w:rPr>
        <w:t>单位参与本次方案征集即视为认同本条款。</w:t>
      </w:r>
    </w:p>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四</w:t>
      </w:r>
      <w:r>
        <w:rPr>
          <w:rFonts w:hint="eastAsia" w:ascii="仿宋" w:hAnsi="仿宋" w:eastAsia="仿宋" w:cs="仿宋"/>
          <w:b/>
          <w:bCs/>
          <w:color w:val="auto"/>
          <w:sz w:val="24"/>
          <w:szCs w:val="24"/>
          <w:lang w:eastAsia="zh-CN"/>
        </w:rPr>
        <w:t>）征集意见报名及</w:t>
      </w:r>
      <w:r>
        <w:rPr>
          <w:rFonts w:hint="eastAsia" w:ascii="仿宋" w:hAnsi="仿宋" w:eastAsia="仿宋" w:cs="仿宋"/>
          <w:b/>
          <w:bCs/>
          <w:color w:val="auto"/>
          <w:sz w:val="24"/>
          <w:szCs w:val="24"/>
        </w:rPr>
        <w:t>提交截止时间</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意见书</w:t>
      </w:r>
      <w:r>
        <w:rPr>
          <w:rFonts w:hint="eastAsia" w:ascii="仿宋" w:hAnsi="仿宋" w:eastAsia="仿宋" w:cs="仿宋"/>
          <w:color w:val="auto"/>
          <w:sz w:val="24"/>
          <w:szCs w:val="24"/>
        </w:rPr>
        <w:t>提交</w:t>
      </w:r>
      <w:r>
        <w:rPr>
          <w:rFonts w:hint="eastAsia" w:ascii="仿宋" w:hAnsi="仿宋" w:eastAsia="仿宋" w:cs="仿宋"/>
          <w:color w:val="auto"/>
          <w:sz w:val="24"/>
          <w:szCs w:val="24"/>
          <w:lang w:val="en-US" w:eastAsia="zh-CN"/>
        </w:rPr>
        <w:t>时间：2026年05月29日至2026年06月04日（法定公休日、法定节假日除外），每日9:00时至11:30时，14:30时至17:30时（北京时间），到福建省正华工程咨询有限公司（地址：福州市晋安区福新中路228</w:t>
      </w:r>
      <w:bookmarkStart w:id="0" w:name="_GoBack"/>
      <w:bookmarkEnd w:id="0"/>
      <w:r>
        <w:rPr>
          <w:rFonts w:hint="eastAsia" w:ascii="仿宋" w:hAnsi="仿宋" w:eastAsia="仿宋" w:cs="仿宋"/>
          <w:color w:val="auto"/>
          <w:sz w:val="24"/>
          <w:szCs w:val="24"/>
          <w:lang w:val="en-US" w:eastAsia="zh-CN"/>
        </w:rPr>
        <w:t>号三层）提交意见书。</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2、意见书提交截止时间：2026年06月04日17：30前，请在此时间之前将意见书送至福建省正华工程咨询有限公司（地址：福州市晋安区福新中路228号三层），否则不予接收。</w:t>
      </w:r>
    </w:p>
    <w:p>
      <w:pPr>
        <w:keepNext w:val="0"/>
        <w:keepLines w:val="0"/>
        <w:pageBreakBefore w:val="0"/>
        <w:kinsoku/>
        <w:wordWrap/>
        <w:overflowPunct/>
        <w:topLinePunct w:val="0"/>
        <w:autoSpaceDE/>
        <w:autoSpaceDN/>
        <w:bidi w:val="0"/>
        <w:adjustRightInd/>
        <w:snapToGrid/>
        <w:spacing w:line="288" w:lineRule="auto"/>
        <w:ind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提交意见书所要求的</w:t>
      </w:r>
      <w:r>
        <w:rPr>
          <w:rFonts w:hint="eastAsia" w:ascii="仿宋" w:hAnsi="仿宋" w:eastAsia="仿宋" w:cs="仿宋"/>
          <w:color w:val="auto"/>
          <w:sz w:val="24"/>
          <w:szCs w:val="24"/>
        </w:rPr>
        <w:t>材料（需提交以下材料，并加盖公章）：</w:t>
      </w:r>
    </w:p>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3.1</w:t>
      </w:r>
      <w:r>
        <w:rPr>
          <w:rFonts w:hint="eastAsia" w:ascii="仿宋" w:hAnsi="仿宋" w:eastAsia="仿宋" w:cs="仿宋"/>
          <w:color w:val="auto"/>
          <w:sz w:val="24"/>
          <w:szCs w:val="24"/>
        </w:rPr>
        <w:t>有效期内的营业执照副本复印件；</w:t>
      </w:r>
    </w:p>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3.2</w:t>
      </w:r>
      <w:r>
        <w:rPr>
          <w:rFonts w:hint="eastAsia" w:ascii="仿宋" w:hAnsi="仿宋" w:eastAsia="仿宋" w:cs="仿宋"/>
          <w:color w:val="auto"/>
          <w:sz w:val="24"/>
          <w:szCs w:val="24"/>
        </w:rPr>
        <w:t>法人身份证、有授权的需提供法人授权委托书（详见附件）及授权人身份证复印件并注明具体的联系方式；</w:t>
      </w:r>
    </w:p>
    <w:p>
      <w:pPr>
        <w:pStyle w:val="5"/>
        <w:widowControl/>
        <w:spacing w:before="0" w:beforeAutospacing="0" w:after="0" w:afterAutospacing="0" w:line="30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3供应商应符合</w:t>
      </w:r>
      <w:r>
        <w:rPr>
          <w:rFonts w:hint="eastAsia" w:ascii="宋体" w:hAnsi="宋体" w:eastAsia="宋体" w:cs="宋体"/>
          <w:color w:val="auto"/>
          <w:shd w:val="clear" w:color="auto" w:fill="FFFFFF"/>
        </w:rPr>
        <w:t>《中华人民共和国政府采购法》第二十二条第一款规定的条件。</w:t>
      </w:r>
      <w:r>
        <w:rPr>
          <w:rFonts w:hint="eastAsia" w:ascii="仿宋" w:hAnsi="仿宋" w:eastAsia="仿宋" w:cs="仿宋"/>
          <w:color w:val="auto"/>
          <w:sz w:val="24"/>
          <w:szCs w:val="24"/>
        </w:rPr>
        <w:t>（提供书面声明函，详见附件）。   </w:t>
      </w:r>
    </w:p>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3.4</w:t>
      </w:r>
      <w:r>
        <w:rPr>
          <w:rFonts w:hint="eastAsia" w:ascii="仿宋" w:hAnsi="仿宋" w:eastAsia="仿宋" w:cs="仿宋"/>
          <w:color w:val="auto"/>
          <w:sz w:val="24"/>
          <w:szCs w:val="24"/>
        </w:rPr>
        <w:t>参加本活动的供应商前三年内无行贿犯罪记录的声明函（提供书面声明函，详见附件）。   </w:t>
      </w:r>
    </w:p>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3.5</w:t>
      </w:r>
      <w:r>
        <w:rPr>
          <w:rFonts w:hint="eastAsia" w:ascii="仿宋" w:hAnsi="仿宋" w:eastAsia="仿宋" w:cs="仿宋"/>
          <w:color w:val="auto"/>
          <w:sz w:val="24"/>
          <w:szCs w:val="24"/>
        </w:rPr>
        <w:t>参加本活动的供应商前三年内未被列入财政部政府采购严重违法失信行为记录名单、未被列入人民法院生效的失信被执行人名单、未被列入重大税收违法案件当事人名单的声明函（提供书面声明函，详见附件）。</w:t>
      </w:r>
    </w:p>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3.6</w:t>
      </w:r>
      <w:r>
        <w:rPr>
          <w:rFonts w:hint="eastAsia" w:ascii="仿宋" w:hAnsi="仿宋" w:eastAsia="仿宋" w:cs="仿宋"/>
          <w:color w:val="auto"/>
          <w:sz w:val="24"/>
          <w:szCs w:val="24"/>
        </w:rPr>
        <w:t>应征单位需书面提供通过“信用中国”网站(www.creditchina.gov.cn)</w:t>
      </w:r>
      <w:r>
        <w:rPr>
          <w:rFonts w:hint="eastAsia" w:ascii="仿宋" w:hAnsi="仿宋" w:eastAsia="仿宋" w:cs="仿宋"/>
          <w:color w:val="auto"/>
          <w:sz w:val="24"/>
          <w:szCs w:val="24"/>
          <w:lang w:eastAsia="zh-CN"/>
        </w:rPr>
        <w:t>。</w:t>
      </w:r>
    </w:p>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五</w:t>
      </w:r>
      <w:r>
        <w:rPr>
          <w:rFonts w:hint="eastAsia" w:ascii="仿宋" w:hAnsi="仿宋" w:eastAsia="仿宋" w:cs="仿宋"/>
          <w:b/>
          <w:bCs/>
          <w:color w:val="auto"/>
          <w:sz w:val="24"/>
          <w:szCs w:val="24"/>
          <w:lang w:eastAsia="zh-CN"/>
        </w:rPr>
        <w:t>）发布公告的媒介</w:t>
      </w:r>
    </w:p>
    <w:p>
      <w:pPr>
        <w:keepNext w:val="0"/>
        <w:keepLines w:val="0"/>
        <w:pageBreakBefore w:val="0"/>
        <w:kinsoku/>
        <w:wordWrap/>
        <w:overflowPunct/>
        <w:topLinePunct w:val="0"/>
        <w:autoSpaceDE/>
        <w:autoSpaceDN/>
        <w:bidi w:val="0"/>
        <w:adjustRightInd/>
        <w:snapToGrid/>
        <w:spacing w:line="288" w:lineRule="auto"/>
        <w:rPr>
          <w:rFonts w:hint="default" w:ascii="仿宋" w:hAnsi="仿宋" w:eastAsia="仿宋" w:cs="仿宋"/>
          <w:color w:val="auto"/>
          <w:sz w:val="24"/>
          <w:szCs w:val="24"/>
          <w:lang w:val="en-US"/>
        </w:rPr>
      </w:pPr>
      <w:r>
        <w:rPr>
          <w:rFonts w:hint="eastAsia" w:ascii="仿宋" w:hAnsi="仿宋" w:eastAsia="仿宋" w:cs="仿宋"/>
          <w:color w:val="auto"/>
          <w:sz w:val="24"/>
          <w:szCs w:val="24"/>
        </w:rPr>
        <w:t>与本次招标有关的公告信息同时在</w:t>
      </w:r>
      <w:r>
        <w:rPr>
          <w:rFonts w:hint="default" w:ascii="仿宋" w:hAnsi="仿宋" w:eastAsia="仿宋" w:cs="仿宋"/>
          <w:color w:val="auto"/>
          <w:sz w:val="24"/>
          <w:szCs w:val="24"/>
        </w:rPr>
        <w:t>以下</w:t>
      </w:r>
      <w:r>
        <w:rPr>
          <w:rFonts w:hint="eastAsia" w:ascii="仿宋" w:hAnsi="仿宋" w:eastAsia="仿宋" w:cs="仿宋"/>
          <w:color w:val="auto"/>
          <w:sz w:val="24"/>
          <w:szCs w:val="24"/>
        </w:rPr>
        <w:t>媒介</w:t>
      </w:r>
      <w:r>
        <w:rPr>
          <w:rFonts w:hint="default" w:ascii="仿宋" w:hAnsi="仿宋" w:eastAsia="仿宋" w:cs="仿宋"/>
          <w:color w:val="auto"/>
          <w:sz w:val="24"/>
          <w:szCs w:val="24"/>
        </w:rPr>
        <w:t>发布，请投标人关注。</w:t>
      </w:r>
    </w:p>
    <w:p>
      <w:pPr>
        <w:keepNext w:val="0"/>
        <w:keepLines w:val="0"/>
        <w:pageBreakBefore w:val="0"/>
        <w:kinsoku/>
        <w:wordWrap/>
        <w:overflowPunct/>
        <w:topLinePunct w:val="0"/>
        <w:autoSpaceDE/>
        <w:autoSpaceDN/>
        <w:bidi w:val="0"/>
        <w:adjustRightInd/>
        <w:snapToGrid/>
        <w:spacing w:line="288" w:lineRule="auto"/>
        <w:ind w:firstLine="480" w:firstLineChars="200"/>
        <w:rPr>
          <w:rFonts w:hint="default" w:ascii="仿宋" w:hAnsi="仿宋" w:eastAsia="仿宋" w:cs="仿宋"/>
          <w:color w:val="auto"/>
          <w:sz w:val="24"/>
          <w:szCs w:val="24"/>
          <w:lang w:val="en-US"/>
        </w:rPr>
      </w:pPr>
      <w:r>
        <w:rPr>
          <w:rFonts w:hint="eastAsia" w:ascii="仿宋" w:hAnsi="仿宋" w:eastAsia="仿宋" w:cs="仿宋"/>
          <w:color w:val="auto"/>
          <w:sz w:val="24"/>
          <w:szCs w:val="24"/>
          <w:lang w:val="en-US" w:eastAsia="zh-CN"/>
        </w:rPr>
        <w:t>1、福建省国资采购平台(http://ygcg.fjcqjy.com/)</w:t>
      </w:r>
      <w:r>
        <w:rPr>
          <w:rFonts w:hint="default" w:ascii="仿宋" w:hAnsi="仿宋" w:eastAsia="仿宋" w:cs="仿宋"/>
          <w:color w:val="auto"/>
          <w:sz w:val="24"/>
          <w:szCs w:val="24"/>
          <w:lang w:val="en-US"/>
        </w:rPr>
        <w:t>、</w:t>
      </w:r>
    </w:p>
    <w:p>
      <w:pPr>
        <w:keepNext w:val="0"/>
        <w:keepLines w:val="0"/>
        <w:pageBreakBefore w:val="0"/>
        <w:kinsoku/>
        <w:wordWrap/>
        <w:overflowPunct/>
        <w:topLinePunct w:val="0"/>
        <w:autoSpaceDE/>
        <w:autoSpaceDN/>
        <w:bidi w:val="0"/>
        <w:adjustRightInd/>
        <w:snapToGrid/>
        <w:spacing w:line="288"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2、福州国资电子交易平台（https://fzgzjy.com）</w:t>
      </w:r>
    </w:p>
    <w:p>
      <w:pPr>
        <w:keepNext w:val="0"/>
        <w:keepLines w:val="0"/>
        <w:pageBreakBefore w:val="0"/>
        <w:kinsoku/>
        <w:wordWrap/>
        <w:overflowPunct/>
        <w:topLinePunct w:val="0"/>
        <w:autoSpaceDE/>
        <w:autoSpaceDN/>
        <w:bidi w:val="0"/>
        <w:adjustRightInd/>
        <w:snapToGrid/>
        <w:spacing w:line="288"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福州市园林中心网站(https://ylj.fuzhou.gov.cn/)</w:t>
      </w:r>
    </w:p>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（六）</w:t>
      </w:r>
      <w:r>
        <w:rPr>
          <w:rFonts w:hint="eastAsia" w:ascii="仿宋" w:hAnsi="仿宋" w:eastAsia="仿宋" w:cs="仿宋"/>
          <w:b/>
          <w:bCs/>
          <w:color w:val="auto"/>
          <w:sz w:val="24"/>
          <w:szCs w:val="24"/>
          <w:lang w:eastAsia="zh-CN"/>
        </w:rPr>
        <w:t>采购单位：</w:t>
      </w:r>
      <w:r>
        <w:rPr>
          <w:rFonts w:hint="eastAsia" w:ascii="仿宋" w:hAnsi="仿宋" w:eastAsia="仿宋" w:cs="仿宋"/>
          <w:b/>
          <w:bCs/>
          <w:color w:val="auto"/>
          <w:sz w:val="24"/>
          <w:szCs w:val="24"/>
          <w:lang w:val="en-US" w:eastAsia="zh-CN"/>
        </w:rPr>
        <w:t>福州市乌龙江公园管理处</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b w:val="0"/>
          <w:bCs w:val="0"/>
          <w:color w:val="auto"/>
          <w:kern w:val="2"/>
          <w:sz w:val="24"/>
          <w:szCs w:val="24"/>
          <w:u w:val="none"/>
          <w:lang w:val="en-US" w:eastAsia="zh-CN" w:bidi="ar-SA"/>
        </w:rPr>
      </w:pPr>
      <w:r>
        <w:rPr>
          <w:rFonts w:hint="eastAsia" w:ascii="仿宋" w:hAnsi="仿宋" w:eastAsia="仿宋" w:cs="仿宋"/>
          <w:color w:val="auto"/>
          <w:sz w:val="24"/>
          <w:szCs w:val="24"/>
        </w:rPr>
        <w:t>采购单位地址：</w:t>
      </w:r>
      <w:r>
        <w:rPr>
          <w:rFonts w:hint="eastAsia" w:ascii="仿宋" w:hAnsi="仿宋" w:eastAsia="仿宋" w:cs="仿宋"/>
          <w:b w:val="0"/>
          <w:bCs w:val="0"/>
          <w:color w:val="auto"/>
          <w:kern w:val="2"/>
          <w:sz w:val="24"/>
          <w:szCs w:val="24"/>
          <w:u w:val="none"/>
          <w:lang w:val="en-US" w:eastAsia="zh-CN" w:bidi="ar-SA"/>
        </w:rPr>
        <w:t xml:space="preserve"> 福州市仓山区西三环路421号</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采购单位联系方式：</w:t>
      </w:r>
      <w:r>
        <w:rPr>
          <w:rFonts w:hint="eastAsia" w:ascii="仿宋" w:hAnsi="仿宋" w:eastAsia="仿宋" w:cs="仿宋"/>
          <w:color w:val="auto"/>
          <w:sz w:val="24"/>
          <w:szCs w:val="24"/>
          <w:lang w:eastAsia="zh-CN"/>
        </w:rPr>
        <w:t>郑工</w:t>
      </w:r>
      <w:r>
        <w:rPr>
          <w:rFonts w:hint="eastAsia" w:ascii="仿宋" w:hAnsi="仿宋" w:eastAsia="仿宋" w:cs="仿宋"/>
          <w:color w:val="auto"/>
          <w:sz w:val="24"/>
          <w:szCs w:val="24"/>
          <w:lang w:val="en-US" w:eastAsia="zh-CN"/>
        </w:rPr>
        <w:t>/0591-87602696</w:t>
      </w:r>
      <w:r>
        <w:rPr>
          <w:rFonts w:hint="eastAsia" w:ascii="仿宋" w:hAnsi="仿宋" w:eastAsia="仿宋" w:cs="仿宋"/>
          <w:color w:val="auto"/>
          <w:sz w:val="24"/>
          <w:szCs w:val="24"/>
        </w:rPr>
        <w:t> </w:t>
      </w:r>
    </w:p>
    <w:p>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val="en-US" w:eastAsia="zh-CN"/>
        </w:rPr>
        <w:t>（七）</w:t>
      </w:r>
      <w:r>
        <w:rPr>
          <w:rFonts w:hint="eastAsia" w:ascii="仿宋" w:hAnsi="仿宋" w:eastAsia="仿宋" w:cs="仿宋"/>
          <w:color w:val="auto"/>
          <w:sz w:val="24"/>
          <w:szCs w:val="24"/>
        </w:rPr>
        <w:t>代</w:t>
      </w:r>
      <w:r>
        <w:rPr>
          <w:rFonts w:hint="eastAsia" w:ascii="仿宋" w:hAnsi="仿宋" w:eastAsia="仿宋" w:cs="仿宋"/>
          <w:b/>
          <w:bCs/>
          <w:color w:val="auto"/>
          <w:sz w:val="24"/>
          <w:szCs w:val="24"/>
          <w:lang w:eastAsia="zh-CN"/>
        </w:rPr>
        <w:t>理机构：</w:t>
      </w:r>
      <w:r>
        <w:rPr>
          <w:rFonts w:hint="eastAsia" w:ascii="仿宋" w:hAnsi="仿宋" w:eastAsia="仿宋" w:cs="仿宋"/>
          <w:color w:val="auto"/>
          <w:sz w:val="24"/>
          <w:szCs w:val="24"/>
          <w:lang w:eastAsia="zh-CN"/>
        </w:rPr>
        <w:t>福建省正华工程咨询有限公司</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 xml:space="preserve">代理机构地址： </w:t>
      </w:r>
      <w:r>
        <w:rPr>
          <w:rFonts w:hint="eastAsia" w:ascii="仿宋" w:hAnsi="仿宋" w:eastAsia="仿宋" w:cs="仿宋"/>
          <w:color w:val="auto"/>
          <w:sz w:val="24"/>
          <w:szCs w:val="24"/>
          <w:lang w:eastAsia="zh-CN"/>
        </w:rPr>
        <w:t>福州市晋安区福新中路</w:t>
      </w:r>
      <w:r>
        <w:rPr>
          <w:rFonts w:hint="eastAsia" w:ascii="仿宋" w:hAnsi="仿宋" w:eastAsia="仿宋" w:cs="仿宋"/>
          <w:color w:val="auto"/>
          <w:sz w:val="24"/>
          <w:szCs w:val="24"/>
          <w:lang w:val="en-US" w:eastAsia="zh-CN"/>
        </w:rPr>
        <w:t>228号三层</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代理机构联系人：</w:t>
      </w:r>
      <w:r>
        <w:rPr>
          <w:rFonts w:hint="eastAsia" w:ascii="仿宋" w:hAnsi="仿宋" w:eastAsia="仿宋" w:cs="仿宋"/>
          <w:color w:val="auto"/>
          <w:sz w:val="24"/>
          <w:szCs w:val="24"/>
          <w:lang w:eastAsia="zh-CN"/>
        </w:rPr>
        <w:t>李工</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059</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87526916</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ind w:firstLine="5520" w:firstLineChars="2300"/>
        <w:textAlignment w:val="auto"/>
        <w:rPr>
          <w:rFonts w:hint="eastAsia" w:ascii="仿宋" w:hAnsi="仿宋" w:eastAsia="仿宋" w:cs="仿宋"/>
          <w:b w:val="0"/>
          <w:bCs w:val="0"/>
          <w:color w:val="auto"/>
          <w:kern w:val="2"/>
          <w:sz w:val="24"/>
          <w:szCs w:val="24"/>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288" w:lineRule="auto"/>
        <w:ind w:firstLine="5520" w:firstLineChars="2300"/>
        <w:textAlignment w:val="auto"/>
        <w:rPr>
          <w:rFonts w:hint="eastAsia" w:ascii="仿宋" w:hAnsi="仿宋" w:eastAsia="仿宋" w:cs="仿宋"/>
          <w:b w:val="0"/>
          <w:bCs w:val="0"/>
          <w:color w:val="auto"/>
          <w:kern w:val="2"/>
          <w:sz w:val="24"/>
          <w:szCs w:val="24"/>
          <w:u w:val="none"/>
          <w:lang w:val="en-US" w:eastAsia="zh-CN" w:bidi="ar-SA"/>
        </w:rPr>
      </w:pPr>
      <w:r>
        <w:rPr>
          <w:rFonts w:hint="eastAsia" w:ascii="仿宋" w:hAnsi="仿宋" w:eastAsia="仿宋" w:cs="仿宋"/>
          <w:b w:val="0"/>
          <w:bCs w:val="0"/>
          <w:color w:val="auto"/>
          <w:kern w:val="2"/>
          <w:sz w:val="24"/>
          <w:szCs w:val="24"/>
          <w:u w:val="none"/>
          <w:lang w:val="en-US" w:eastAsia="zh-CN" w:bidi="ar-SA"/>
        </w:rPr>
        <w:t>福州市乌龙江公园管理处</w:t>
      </w:r>
    </w:p>
    <w:p>
      <w:pPr>
        <w:keepNext w:val="0"/>
        <w:keepLines w:val="0"/>
        <w:pageBreakBefore w:val="0"/>
        <w:widowControl w:val="0"/>
        <w:kinsoku/>
        <w:wordWrap/>
        <w:overflowPunct/>
        <w:topLinePunct w:val="0"/>
        <w:autoSpaceDE/>
        <w:autoSpaceDN/>
        <w:bidi w:val="0"/>
        <w:adjustRightInd/>
        <w:snapToGrid/>
        <w:spacing w:line="288" w:lineRule="auto"/>
        <w:ind w:firstLine="6240" w:firstLineChars="2600"/>
        <w:textAlignment w:val="auto"/>
        <w:rPr>
          <w:rFonts w:hint="eastAsia" w:ascii="仿宋" w:hAnsi="仿宋" w:eastAsia="仿宋" w:cs="仿宋"/>
          <w:color w:val="auto"/>
          <w:sz w:val="24"/>
          <w:szCs w:val="24"/>
          <w:lang w:val="en-US" w:eastAsia="zh-CN"/>
        </w:rPr>
      </w:pPr>
      <w:r>
        <w:rPr>
          <w:rFonts w:hint="eastAsia" w:ascii="仿宋" w:hAnsi="仿宋" w:eastAsia="仿宋" w:cs="仿宋"/>
          <w:b w:val="0"/>
          <w:bCs w:val="0"/>
          <w:color w:val="auto"/>
          <w:kern w:val="2"/>
          <w:sz w:val="24"/>
          <w:szCs w:val="24"/>
          <w:u w:val="none"/>
          <w:lang w:val="en-US" w:eastAsia="zh-CN" w:bidi="ar-SA"/>
        </w:rPr>
        <w:t>2026年5月28日</w:t>
      </w: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eastAsia" w:ascii="仿宋" w:hAnsi="仿宋" w:eastAsia="仿宋" w:cs="仿宋"/>
          <w:color w:val="0000FF"/>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w:t>
      </w:r>
    </w:p>
    <w:p>
      <w:pPr>
        <w:keepNext w:val="0"/>
        <w:keepLines w:val="0"/>
        <w:pageBreakBefore w:val="0"/>
        <w:kinsoku/>
        <w:wordWrap/>
        <w:overflowPunct/>
        <w:topLinePunct w:val="0"/>
        <w:autoSpaceDE/>
        <w:autoSpaceDN/>
        <w:bidi w:val="0"/>
        <w:adjustRightInd/>
        <w:snapToGrid/>
        <w:spacing w:line="288" w:lineRule="auto"/>
        <w:rPr>
          <w:rFonts w:hint="default" w:ascii="仿宋" w:hAnsi="仿宋" w:eastAsia="仿宋" w:cs="仿宋"/>
          <w:b/>
          <w:bCs/>
          <w:color w:val="auto"/>
          <w:sz w:val="24"/>
          <w:szCs w:val="24"/>
          <w:lang w:val="en-US" w:eastAsia="zh-CN"/>
        </w:rPr>
      </w:pPr>
    </w:p>
    <w:p>
      <w:pPr>
        <w:keepNext w:val="0"/>
        <w:keepLines w:val="0"/>
        <w:pageBreakBefore w:val="0"/>
        <w:kinsoku/>
        <w:wordWrap/>
        <w:overflowPunct/>
        <w:topLinePunct w:val="0"/>
        <w:autoSpaceDE/>
        <w:autoSpaceDN/>
        <w:bidi w:val="0"/>
        <w:adjustRightInd/>
        <w:snapToGrid/>
        <w:spacing w:line="288" w:lineRule="auto"/>
        <w:rPr>
          <w:rFonts w:hint="default" w:ascii="仿宋" w:hAnsi="仿宋" w:eastAsia="仿宋" w:cs="仿宋"/>
          <w:b/>
          <w:bCs/>
          <w:color w:val="auto"/>
          <w:sz w:val="24"/>
          <w:szCs w:val="24"/>
          <w:lang w:val="en-US" w:eastAsia="zh-CN"/>
        </w:rPr>
      </w:pPr>
    </w:p>
    <w:p>
      <w:pPr>
        <w:keepNext w:val="0"/>
        <w:keepLines w:val="0"/>
        <w:pageBreakBefore w:val="0"/>
        <w:kinsoku/>
        <w:wordWrap/>
        <w:overflowPunct/>
        <w:topLinePunct w:val="0"/>
        <w:autoSpaceDE/>
        <w:autoSpaceDN/>
        <w:bidi w:val="0"/>
        <w:adjustRightInd/>
        <w:snapToGrid/>
        <w:spacing w:line="288" w:lineRule="auto"/>
        <w:rPr>
          <w:rFonts w:hint="default" w:ascii="仿宋" w:hAnsi="仿宋" w:eastAsia="仿宋" w:cs="仿宋"/>
          <w:b/>
          <w:bCs/>
          <w:color w:val="auto"/>
          <w:sz w:val="24"/>
          <w:szCs w:val="24"/>
          <w:lang w:val="en-US" w:eastAsia="zh-CN"/>
        </w:rPr>
      </w:pPr>
    </w:p>
    <w:p>
      <w:pPr>
        <w:keepNext w:val="0"/>
        <w:keepLines w:val="0"/>
        <w:pageBreakBefore w:val="0"/>
        <w:kinsoku/>
        <w:wordWrap/>
        <w:overflowPunct/>
        <w:topLinePunct w:val="0"/>
        <w:autoSpaceDE/>
        <w:autoSpaceDN/>
        <w:bidi w:val="0"/>
        <w:adjustRightInd/>
        <w:snapToGrid/>
        <w:spacing w:line="288" w:lineRule="auto"/>
        <w:rPr>
          <w:rFonts w:hint="default" w:ascii="仿宋" w:hAnsi="仿宋" w:eastAsia="仿宋" w:cs="仿宋"/>
          <w:b/>
          <w:bCs/>
          <w:color w:val="auto"/>
          <w:sz w:val="24"/>
          <w:szCs w:val="24"/>
          <w:lang w:val="en-US" w:eastAsia="zh-CN"/>
        </w:rPr>
      </w:pPr>
    </w:p>
    <w:p>
      <w:pPr>
        <w:keepNext w:val="0"/>
        <w:keepLines w:val="0"/>
        <w:pageBreakBefore w:val="0"/>
        <w:kinsoku/>
        <w:wordWrap/>
        <w:overflowPunct/>
        <w:topLinePunct w:val="0"/>
        <w:autoSpaceDE/>
        <w:autoSpaceDN/>
        <w:bidi w:val="0"/>
        <w:adjustRightInd/>
        <w:snapToGrid/>
        <w:spacing w:line="288" w:lineRule="auto"/>
        <w:rPr>
          <w:rFonts w:hint="default" w:ascii="仿宋" w:hAnsi="仿宋" w:eastAsia="仿宋" w:cs="仿宋"/>
          <w:b/>
          <w:bCs/>
          <w:color w:val="auto"/>
          <w:sz w:val="24"/>
          <w:szCs w:val="24"/>
          <w:lang w:val="en-US" w:eastAsia="zh-CN"/>
        </w:rPr>
      </w:pPr>
    </w:p>
    <w:p>
      <w:pPr>
        <w:keepNext w:val="0"/>
        <w:keepLines w:val="0"/>
        <w:pageBreakBefore w:val="0"/>
        <w:kinsoku/>
        <w:wordWrap/>
        <w:overflowPunct/>
        <w:topLinePunct w:val="0"/>
        <w:autoSpaceDE/>
        <w:autoSpaceDN/>
        <w:bidi w:val="0"/>
        <w:adjustRightInd/>
        <w:snapToGrid/>
        <w:spacing w:line="288" w:lineRule="auto"/>
        <w:rPr>
          <w:rFonts w:hint="default" w:ascii="仿宋" w:hAnsi="仿宋" w:eastAsia="仿宋" w:cs="仿宋"/>
          <w:b/>
          <w:bCs/>
          <w:color w:val="auto"/>
          <w:sz w:val="24"/>
          <w:szCs w:val="24"/>
          <w:lang w:val="en-US" w:eastAsia="zh-CN"/>
        </w:rPr>
      </w:pPr>
    </w:p>
    <w:p>
      <w:pPr>
        <w:keepNext w:val="0"/>
        <w:keepLines w:val="0"/>
        <w:pageBreakBefore w:val="0"/>
        <w:kinsoku/>
        <w:wordWrap/>
        <w:overflowPunct/>
        <w:topLinePunct w:val="0"/>
        <w:autoSpaceDE/>
        <w:autoSpaceDN/>
        <w:bidi w:val="0"/>
        <w:adjustRightInd/>
        <w:snapToGrid/>
        <w:spacing w:line="288" w:lineRule="auto"/>
        <w:rPr>
          <w:rFonts w:hint="default" w:ascii="仿宋" w:hAnsi="仿宋" w:eastAsia="仿宋" w:cs="仿宋"/>
          <w:b/>
          <w:bCs/>
          <w:color w:val="auto"/>
          <w:sz w:val="24"/>
          <w:szCs w:val="24"/>
          <w:lang w:val="en-US" w:eastAsia="zh-CN"/>
        </w:rPr>
      </w:pPr>
    </w:p>
    <w:p>
      <w:pPr>
        <w:keepNext w:val="0"/>
        <w:keepLines w:val="0"/>
        <w:pageBreakBefore w:val="0"/>
        <w:kinsoku/>
        <w:wordWrap/>
        <w:overflowPunct/>
        <w:topLinePunct w:val="0"/>
        <w:autoSpaceDE/>
        <w:autoSpaceDN/>
        <w:bidi w:val="0"/>
        <w:adjustRightInd/>
        <w:snapToGrid/>
        <w:spacing w:line="288" w:lineRule="auto"/>
        <w:rPr>
          <w:rFonts w:hint="default" w:ascii="仿宋" w:hAnsi="仿宋" w:eastAsia="仿宋" w:cs="仿宋"/>
          <w:b/>
          <w:bCs/>
          <w:color w:val="auto"/>
          <w:sz w:val="24"/>
          <w:szCs w:val="24"/>
          <w:lang w:val="en-US" w:eastAsia="zh-CN"/>
        </w:rPr>
      </w:pPr>
    </w:p>
    <w:p>
      <w:pPr>
        <w:keepNext w:val="0"/>
        <w:keepLines w:val="0"/>
        <w:pageBreakBefore w:val="0"/>
        <w:kinsoku/>
        <w:wordWrap/>
        <w:overflowPunct/>
        <w:topLinePunct w:val="0"/>
        <w:autoSpaceDE/>
        <w:autoSpaceDN/>
        <w:bidi w:val="0"/>
        <w:adjustRightInd/>
        <w:snapToGrid/>
        <w:spacing w:line="288" w:lineRule="auto"/>
        <w:rPr>
          <w:rFonts w:hint="default" w:ascii="仿宋" w:hAnsi="仿宋" w:eastAsia="仿宋" w:cs="仿宋"/>
          <w:b/>
          <w:bCs/>
          <w:color w:val="auto"/>
          <w:sz w:val="24"/>
          <w:szCs w:val="24"/>
          <w:lang w:val="en-US" w:eastAsia="zh-CN"/>
        </w:rPr>
      </w:pPr>
    </w:p>
    <w:p>
      <w:pPr>
        <w:keepNext w:val="0"/>
        <w:keepLines w:val="0"/>
        <w:pageBreakBefore w:val="0"/>
        <w:kinsoku/>
        <w:wordWrap/>
        <w:overflowPunct/>
        <w:topLinePunct w:val="0"/>
        <w:autoSpaceDE/>
        <w:autoSpaceDN/>
        <w:bidi w:val="0"/>
        <w:adjustRightInd/>
        <w:snapToGrid/>
        <w:spacing w:line="288" w:lineRule="auto"/>
        <w:rPr>
          <w:rFonts w:hint="default" w:ascii="仿宋" w:hAnsi="仿宋" w:eastAsia="仿宋" w:cs="仿宋"/>
          <w:b/>
          <w:bCs/>
          <w:color w:val="auto"/>
          <w:sz w:val="24"/>
          <w:szCs w:val="24"/>
          <w:lang w:val="en-US" w:eastAsia="zh-CN"/>
        </w:rPr>
      </w:pPr>
    </w:p>
    <w:p>
      <w:pPr>
        <w:pStyle w:val="17"/>
        <w:jc w:val="both"/>
        <w:outlineLvl w:val="2"/>
        <w:rPr>
          <w:rFonts w:hint="default"/>
          <w:color w:val="auto"/>
        </w:rPr>
      </w:pPr>
      <w:r>
        <w:rPr>
          <w:b/>
          <w:color w:val="auto"/>
          <w:sz w:val="28"/>
        </w:rPr>
        <w:t>附件</w:t>
      </w:r>
      <w:r>
        <w:rPr>
          <w:rFonts w:hint="eastAsia"/>
          <w:b/>
          <w:color w:val="auto"/>
          <w:sz w:val="28"/>
          <w:lang w:val="en-US" w:eastAsia="zh-CN"/>
        </w:rPr>
        <w:t xml:space="preserve">          </w:t>
      </w:r>
      <w:r>
        <w:rPr>
          <w:b/>
          <w:color w:val="auto"/>
          <w:sz w:val="28"/>
        </w:rPr>
        <w:t xml:space="preserve"> 福建省政府采购供应商资格承诺函</w:t>
      </w:r>
    </w:p>
    <w:p>
      <w:pPr>
        <w:pStyle w:val="5"/>
        <w:spacing w:before="75" w:after="75" w:line="435" w:lineRule="atLeast"/>
        <w:rPr>
          <w:rFonts w:hint="eastAsia" w:ascii="宋体" w:hAnsi="宋体" w:eastAsia="宋体" w:cs="宋体"/>
          <w:color w:val="auto"/>
        </w:rPr>
      </w:pPr>
      <w:r>
        <w:rPr>
          <w:rFonts w:hint="eastAsia" w:ascii="宋体" w:hAnsi="宋体" w:eastAsia="宋体" w:cs="宋体"/>
          <w:color w:val="auto"/>
        </w:rPr>
        <w:t>致：（采购人或采购代理机构）</w:t>
      </w:r>
    </w:p>
    <w:p>
      <w:pPr>
        <w:pStyle w:val="5"/>
        <w:spacing w:before="75" w:after="75" w:line="435" w:lineRule="atLeast"/>
        <w:ind w:firstLine="480"/>
        <w:rPr>
          <w:rFonts w:hint="eastAsia" w:ascii="宋体" w:hAnsi="宋体" w:eastAsia="宋体" w:cs="宋体"/>
          <w:color w:val="auto"/>
        </w:rPr>
      </w:pPr>
      <w:r>
        <w:rPr>
          <w:rFonts w:hint="eastAsia" w:ascii="宋体" w:hAnsi="宋体" w:eastAsia="宋体" w:cs="宋体"/>
          <w:color w:val="auto"/>
        </w:rPr>
        <w:t>单位名称(自然人姓名):</w:t>
      </w:r>
    </w:p>
    <w:p>
      <w:pPr>
        <w:pStyle w:val="5"/>
        <w:spacing w:before="75" w:after="75" w:line="435" w:lineRule="atLeast"/>
        <w:ind w:firstLine="480"/>
        <w:rPr>
          <w:rFonts w:hint="eastAsia" w:ascii="宋体" w:hAnsi="宋体" w:eastAsia="宋体" w:cs="宋体"/>
          <w:color w:val="auto"/>
        </w:rPr>
      </w:pPr>
      <w:r>
        <w:rPr>
          <w:rFonts w:hint="eastAsia" w:ascii="宋体" w:hAnsi="宋体" w:eastAsia="宋体" w:cs="宋体"/>
          <w:color w:val="auto"/>
        </w:rPr>
        <w:t>统一社会信用代码(自然人身份证号码):</w:t>
      </w:r>
    </w:p>
    <w:p>
      <w:pPr>
        <w:pStyle w:val="5"/>
        <w:spacing w:before="75" w:after="75" w:line="435" w:lineRule="atLeast"/>
        <w:ind w:firstLine="480"/>
        <w:rPr>
          <w:rFonts w:hint="eastAsia" w:ascii="宋体" w:hAnsi="宋体" w:eastAsia="宋体" w:cs="宋体"/>
          <w:color w:val="auto"/>
        </w:rPr>
      </w:pPr>
      <w:r>
        <w:rPr>
          <w:rFonts w:hint="eastAsia" w:ascii="宋体" w:hAnsi="宋体" w:eastAsia="宋体" w:cs="宋体"/>
          <w:color w:val="auto"/>
        </w:rPr>
        <w:t>法定代表人(负责人):</w:t>
      </w:r>
    </w:p>
    <w:p>
      <w:pPr>
        <w:pStyle w:val="5"/>
        <w:spacing w:before="75" w:after="75" w:line="435" w:lineRule="atLeast"/>
        <w:ind w:firstLine="480"/>
        <w:rPr>
          <w:rFonts w:hint="eastAsia" w:ascii="宋体" w:hAnsi="宋体" w:eastAsia="宋体" w:cs="宋体"/>
          <w:color w:val="auto"/>
        </w:rPr>
      </w:pPr>
      <w:r>
        <w:rPr>
          <w:rFonts w:hint="eastAsia" w:ascii="宋体" w:hAnsi="宋体" w:eastAsia="宋体" w:cs="宋体"/>
          <w:color w:val="auto"/>
        </w:rPr>
        <w:t>联系地址和电话:</w:t>
      </w:r>
    </w:p>
    <w:p>
      <w:pPr>
        <w:pStyle w:val="5"/>
        <w:spacing w:before="75" w:after="75" w:line="435" w:lineRule="atLeast"/>
        <w:ind w:firstLine="480" w:firstLineChars="200"/>
        <w:rPr>
          <w:rFonts w:hint="eastAsia" w:ascii="宋体" w:hAnsi="宋体" w:eastAsia="宋体" w:cs="宋体"/>
          <w:color w:val="auto"/>
        </w:rPr>
      </w:pPr>
      <w:r>
        <w:rPr>
          <w:rFonts w:hint="eastAsia" w:ascii="宋体" w:hAnsi="宋体" w:eastAsia="宋体" w:cs="宋体"/>
          <w:color w:val="auto"/>
        </w:rPr>
        <w:t>我单位(本人)自愿参加本次</w:t>
      </w:r>
      <w:r>
        <w:rPr>
          <w:rFonts w:hint="eastAsia" w:ascii="宋体" w:hAnsi="宋体" w:eastAsia="宋体" w:cs="宋体"/>
          <w:color w:val="auto"/>
          <w:lang w:val="en-US" w:eastAsia="zh-CN"/>
        </w:rPr>
        <w:t>征集意见</w:t>
      </w:r>
      <w:r>
        <w:rPr>
          <w:rFonts w:hint="eastAsia" w:ascii="宋体" w:hAnsi="宋体" w:eastAsia="宋体" w:cs="宋体"/>
          <w:color w:val="auto"/>
        </w:rPr>
        <w:t>采购活动，严格遵守《中华人民共和国政府采购法》及相关法律法规，坚守公开、公平公正和诚实信用等原则，依法诚信经营，并郑重承诺:</w:t>
      </w:r>
    </w:p>
    <w:p>
      <w:pPr>
        <w:pStyle w:val="5"/>
        <w:spacing w:before="75" w:after="75" w:line="435" w:lineRule="atLeast"/>
        <w:rPr>
          <w:rFonts w:hint="eastAsia" w:ascii="宋体" w:hAnsi="宋体" w:eastAsia="宋体" w:cs="宋体"/>
          <w:color w:val="auto"/>
        </w:rPr>
      </w:pPr>
      <w:r>
        <w:rPr>
          <w:rFonts w:hint="eastAsia" w:ascii="宋体" w:hAnsi="宋体" w:eastAsia="宋体" w:cs="宋体"/>
          <w:color w:val="auto"/>
        </w:rPr>
        <w:t>一、我单位(本人)具备</w:t>
      </w:r>
      <w:r>
        <w:rPr>
          <w:rFonts w:hint="eastAsia" w:ascii="宋体" w:hAnsi="宋体" w:eastAsia="宋体" w:cs="宋体"/>
          <w:color w:val="auto"/>
          <w:lang w:val="en-US" w:eastAsia="zh-CN"/>
        </w:rPr>
        <w:t>征集意见</w:t>
      </w:r>
      <w:r>
        <w:rPr>
          <w:rFonts w:hint="eastAsia" w:ascii="宋体" w:hAnsi="宋体" w:eastAsia="宋体" w:cs="宋体"/>
          <w:color w:val="auto"/>
        </w:rPr>
        <w:t>要求以及《中华人民共和国政府采购法》第二十二条规定的条件:</w:t>
      </w:r>
    </w:p>
    <w:p>
      <w:pPr>
        <w:pStyle w:val="5"/>
        <w:spacing w:before="75" w:after="75" w:line="435" w:lineRule="atLeast"/>
        <w:ind w:firstLine="480"/>
        <w:rPr>
          <w:rFonts w:hint="eastAsia" w:ascii="宋体" w:hAnsi="宋体" w:eastAsia="宋体" w:cs="宋体"/>
          <w:color w:val="auto"/>
        </w:rPr>
      </w:pPr>
      <w:r>
        <w:rPr>
          <w:rFonts w:hint="eastAsia" w:ascii="宋体" w:hAnsi="宋体" w:eastAsia="宋体" w:cs="宋体"/>
          <w:color w:val="auto"/>
        </w:rPr>
        <w:t>1.具有独立承担民事责任的能力;</w:t>
      </w:r>
    </w:p>
    <w:p>
      <w:pPr>
        <w:pStyle w:val="5"/>
        <w:spacing w:before="75" w:after="75" w:line="435" w:lineRule="atLeast"/>
        <w:ind w:firstLine="480"/>
        <w:rPr>
          <w:rFonts w:hint="eastAsia" w:ascii="宋体" w:hAnsi="宋体" w:eastAsia="宋体" w:cs="宋体"/>
          <w:color w:val="auto"/>
        </w:rPr>
      </w:pPr>
      <w:r>
        <w:rPr>
          <w:rFonts w:hint="eastAsia" w:ascii="宋体" w:hAnsi="宋体" w:eastAsia="宋体" w:cs="宋体"/>
          <w:color w:val="auto"/>
        </w:rPr>
        <w:t>2.具有良好的商业信誉和健全的财务会计制度;</w:t>
      </w:r>
    </w:p>
    <w:p>
      <w:pPr>
        <w:pStyle w:val="5"/>
        <w:spacing w:before="75" w:after="75" w:line="435" w:lineRule="atLeast"/>
        <w:ind w:firstLine="480"/>
        <w:rPr>
          <w:rFonts w:hint="eastAsia" w:ascii="宋体" w:hAnsi="宋体" w:eastAsia="宋体" w:cs="宋体"/>
          <w:color w:val="auto"/>
        </w:rPr>
      </w:pPr>
      <w:r>
        <w:rPr>
          <w:rFonts w:hint="eastAsia" w:ascii="宋体" w:hAnsi="宋体" w:eastAsia="宋体" w:cs="宋体"/>
          <w:color w:val="auto"/>
        </w:rPr>
        <w:t>3.具有履行合同所必需的设备和专业技术能力;</w:t>
      </w:r>
    </w:p>
    <w:p>
      <w:pPr>
        <w:pStyle w:val="5"/>
        <w:spacing w:before="75" w:after="75" w:line="435" w:lineRule="atLeast"/>
        <w:ind w:firstLine="480"/>
        <w:rPr>
          <w:rFonts w:hint="eastAsia" w:ascii="宋体" w:hAnsi="宋体" w:eastAsia="宋体" w:cs="宋体"/>
          <w:color w:val="auto"/>
        </w:rPr>
      </w:pPr>
      <w:r>
        <w:rPr>
          <w:rFonts w:hint="eastAsia" w:ascii="宋体" w:hAnsi="宋体" w:eastAsia="宋体" w:cs="宋体"/>
          <w:color w:val="auto"/>
        </w:rPr>
        <w:t>4.有依法缴纳税收和社会保障资金的良好记录;</w:t>
      </w:r>
    </w:p>
    <w:p>
      <w:pPr>
        <w:pStyle w:val="5"/>
        <w:spacing w:before="75" w:after="75" w:line="435" w:lineRule="atLeast"/>
        <w:ind w:firstLine="480"/>
        <w:rPr>
          <w:rFonts w:hint="eastAsia" w:ascii="宋体" w:hAnsi="宋体" w:eastAsia="宋体" w:cs="宋体"/>
          <w:color w:val="auto"/>
        </w:rPr>
      </w:pPr>
      <w:r>
        <w:rPr>
          <w:rFonts w:hint="eastAsia" w:ascii="宋体" w:hAnsi="宋体" w:eastAsia="宋体" w:cs="宋体"/>
          <w:color w:val="auto"/>
        </w:rPr>
        <w:t>5.参加政府采购活动前三年内，在经营活动中没有重大违法记录；</w:t>
      </w:r>
    </w:p>
    <w:p>
      <w:pPr>
        <w:pStyle w:val="5"/>
        <w:spacing w:before="75" w:after="75" w:line="435" w:lineRule="atLeast"/>
        <w:ind w:firstLine="480"/>
        <w:rPr>
          <w:rFonts w:hint="eastAsia" w:ascii="宋体" w:hAnsi="宋体" w:eastAsia="宋体" w:cs="宋体"/>
          <w:color w:val="auto"/>
        </w:rPr>
      </w:pPr>
      <w:r>
        <w:rPr>
          <w:rFonts w:hint="eastAsia" w:ascii="宋体" w:hAnsi="宋体" w:eastAsia="宋体" w:cs="宋体"/>
          <w:color w:val="auto"/>
        </w:rPr>
        <w:t>6.法律、行政法规规定的其他条件。</w:t>
      </w:r>
    </w:p>
    <w:p>
      <w:pPr>
        <w:pStyle w:val="5"/>
        <w:spacing w:before="75" w:after="75" w:line="435" w:lineRule="atLeast"/>
        <w:rPr>
          <w:rFonts w:hint="eastAsia" w:ascii="宋体" w:hAnsi="宋体" w:eastAsia="宋体" w:cs="宋体"/>
          <w:color w:val="auto"/>
        </w:rPr>
      </w:pPr>
      <w:r>
        <w:rPr>
          <w:rFonts w:hint="eastAsia" w:ascii="宋体" w:hAnsi="宋体" w:eastAsia="宋体" w:cs="宋体"/>
          <w:color w:val="auto"/>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5"/>
        <w:spacing w:before="75" w:after="75" w:line="435" w:lineRule="atLeast"/>
        <w:rPr>
          <w:rFonts w:hint="eastAsia" w:ascii="宋体" w:hAnsi="宋体" w:eastAsia="宋体" w:cs="宋体"/>
          <w:color w:val="auto"/>
        </w:rPr>
      </w:pPr>
      <w:r>
        <w:rPr>
          <w:rFonts w:hint="eastAsia" w:ascii="宋体" w:hAnsi="宋体" w:eastAsia="宋体" w:cs="宋体"/>
          <w:color w:val="auto"/>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5"/>
        <w:spacing w:before="75" w:after="75" w:line="435" w:lineRule="atLeast"/>
        <w:jc w:val="right"/>
        <w:rPr>
          <w:rFonts w:hint="eastAsia" w:ascii="宋体" w:hAnsi="宋体" w:eastAsia="宋体" w:cs="宋体"/>
          <w:color w:val="auto"/>
        </w:rPr>
      </w:pPr>
      <w:r>
        <w:rPr>
          <w:rFonts w:hint="eastAsia" w:ascii="宋体" w:hAnsi="宋体" w:eastAsia="宋体" w:cs="宋体"/>
          <w:color w:val="auto"/>
        </w:rPr>
        <w:t>供应商：名称(单位公章):</w:t>
      </w:r>
    </w:p>
    <w:p>
      <w:pPr>
        <w:pStyle w:val="5"/>
        <w:spacing w:before="75" w:after="75" w:line="435" w:lineRule="atLeast"/>
        <w:jc w:val="right"/>
        <w:rPr>
          <w:rFonts w:hint="eastAsia" w:ascii="宋体" w:hAnsi="宋体" w:eastAsia="宋体" w:cs="宋体"/>
          <w:color w:val="auto"/>
        </w:rPr>
      </w:pPr>
      <w:r>
        <w:rPr>
          <w:rFonts w:hint="eastAsia" w:ascii="宋体" w:hAnsi="宋体" w:eastAsia="宋体" w:cs="宋体"/>
          <w:color w:val="auto"/>
        </w:rPr>
        <w:t>日期：　　年　　月　　日</w:t>
      </w:r>
    </w:p>
    <w:p>
      <w:pPr>
        <w:pStyle w:val="5"/>
        <w:spacing w:before="75" w:after="75" w:line="435" w:lineRule="atLeast"/>
        <w:rPr>
          <w:rFonts w:hint="eastAsia" w:ascii="宋体" w:hAnsi="宋体" w:eastAsia="宋体" w:cs="宋体"/>
          <w:color w:val="auto"/>
        </w:rPr>
      </w:pPr>
      <w:r>
        <w:rPr>
          <w:rFonts w:hint="eastAsia" w:ascii="宋体" w:hAnsi="宋体" w:eastAsia="宋体" w:cs="宋体"/>
          <w:color w:val="auto"/>
        </w:rPr>
        <w:t>注：</w:t>
      </w:r>
    </w:p>
    <w:p>
      <w:pPr>
        <w:pStyle w:val="5"/>
        <w:spacing w:before="75" w:after="75" w:line="435" w:lineRule="atLeast"/>
        <w:ind w:firstLine="480"/>
        <w:rPr>
          <w:rFonts w:hint="eastAsia" w:ascii="宋体" w:hAnsi="宋体" w:eastAsia="宋体" w:cs="宋体"/>
          <w:color w:val="auto"/>
        </w:rPr>
      </w:pPr>
      <w:r>
        <w:rPr>
          <w:rFonts w:hint="eastAsia" w:ascii="宋体" w:hAnsi="宋体" w:eastAsia="宋体" w:cs="宋体"/>
          <w:color w:val="auto"/>
        </w:rPr>
        <w:t>1.我单位(本人)专指参加</w:t>
      </w:r>
      <w:r>
        <w:rPr>
          <w:rFonts w:hint="eastAsia" w:ascii="宋体" w:hAnsi="宋体" w:eastAsia="宋体" w:cs="宋体"/>
          <w:color w:val="auto"/>
          <w:lang w:val="en-US" w:eastAsia="zh-CN"/>
        </w:rPr>
        <w:t>征集意见</w:t>
      </w:r>
      <w:r>
        <w:rPr>
          <w:rFonts w:hint="eastAsia" w:ascii="宋体" w:hAnsi="宋体" w:eastAsia="宋体" w:cs="宋体"/>
          <w:color w:val="auto"/>
        </w:rPr>
        <w:t>采购活动的供应商(含自然人)；</w:t>
      </w:r>
    </w:p>
    <w:p>
      <w:pPr>
        <w:pStyle w:val="5"/>
        <w:spacing w:before="75" w:after="75" w:line="435" w:lineRule="atLeast"/>
        <w:ind w:firstLine="480"/>
        <w:rPr>
          <w:rFonts w:hint="eastAsia" w:ascii="宋体" w:hAnsi="宋体" w:eastAsia="宋体" w:cs="宋体"/>
          <w:color w:val="auto"/>
        </w:rPr>
      </w:pPr>
      <w:r>
        <w:rPr>
          <w:rFonts w:hint="eastAsia" w:ascii="宋体" w:hAnsi="宋体" w:eastAsia="宋体" w:cs="宋体"/>
          <w:color w:val="auto"/>
        </w:rPr>
        <w:t>2.资格承诺的供应商应在响应文件中按此模板提供承诺函，否则，视为未按照规定提交</w:t>
      </w:r>
      <w:r>
        <w:rPr>
          <w:rFonts w:hint="eastAsia" w:ascii="宋体" w:hAnsi="宋体" w:eastAsia="宋体" w:cs="宋体"/>
          <w:color w:val="auto"/>
          <w:lang w:val="en-US" w:eastAsia="zh-CN"/>
        </w:rPr>
        <w:t>征集</w:t>
      </w:r>
      <w:r>
        <w:rPr>
          <w:rFonts w:hint="eastAsia" w:ascii="宋体" w:hAnsi="宋体" w:eastAsia="宋体" w:cs="宋体"/>
          <w:color w:val="auto"/>
        </w:rPr>
        <w:t>的资格及资信文件，</w:t>
      </w:r>
      <w:r>
        <w:rPr>
          <w:rFonts w:hint="eastAsia" w:ascii="宋体" w:hAnsi="宋体" w:eastAsia="宋体" w:cs="宋体"/>
          <w:color w:val="auto"/>
          <w:lang w:val="en-US" w:eastAsia="zh-CN"/>
        </w:rPr>
        <w:t>将不受理该征集意见书</w:t>
      </w:r>
      <w:r>
        <w:rPr>
          <w:rFonts w:hint="eastAsia" w:ascii="宋体" w:hAnsi="宋体" w:eastAsia="宋体" w:cs="宋体"/>
          <w:color w:val="auto"/>
        </w:rPr>
        <w:t>。</w:t>
      </w:r>
    </w:p>
    <w:p>
      <w:pPr>
        <w:keepNext w:val="0"/>
        <w:keepLines w:val="0"/>
        <w:pageBreakBefore w:val="0"/>
        <w:kinsoku/>
        <w:wordWrap/>
        <w:overflowPunct/>
        <w:topLinePunct w:val="0"/>
        <w:autoSpaceDE/>
        <w:autoSpaceDN/>
        <w:bidi w:val="0"/>
        <w:adjustRightInd/>
        <w:snapToGrid/>
        <w:spacing w:line="288" w:lineRule="auto"/>
        <w:rPr>
          <w:rFonts w:hint="default" w:ascii="仿宋" w:hAnsi="仿宋" w:eastAsia="仿宋" w:cs="仿宋"/>
          <w:b/>
          <w:bCs/>
          <w:color w:val="auto"/>
          <w:sz w:val="24"/>
          <w:szCs w:val="24"/>
          <w:lang w:val="en-US" w:eastAsia="zh-CN"/>
        </w:rPr>
      </w:pPr>
    </w:p>
    <w:sectPr>
      <w:pgSz w:w="11906" w:h="16838"/>
      <w:pgMar w:top="1474" w:right="1587"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东文宋体">
    <w:altName w:val="宋体"/>
    <w:panose1 w:val="00000000000000000000"/>
    <w:charset w:val="00"/>
    <w:family w:val="auto"/>
    <w:pitch w:val="default"/>
    <w:sig w:usb0="00000000" w:usb1="00000000" w:usb2="00000000" w:usb3="00000000" w:csb0="00000000" w:csb1="00000000"/>
  </w:font>
  <w:font w:name="仿宋">
    <w:altName w:val="微软雅黑"/>
    <w:panose1 w:val="02010609060101010101"/>
    <w:charset w:val="86"/>
    <w:family w:val="auto"/>
    <w:pitch w:val="default"/>
    <w:sig w:usb0="00000000" w:usb1="00000000"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9DBFBB"/>
    <w:multiLevelType w:val="singleLevel"/>
    <w:tmpl w:val="3C9DBFB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40C27"/>
    <w:rsid w:val="01D40070"/>
    <w:rsid w:val="01E55415"/>
    <w:rsid w:val="022350E4"/>
    <w:rsid w:val="02D04119"/>
    <w:rsid w:val="036C246E"/>
    <w:rsid w:val="080B6E39"/>
    <w:rsid w:val="08644BC7"/>
    <w:rsid w:val="090B265B"/>
    <w:rsid w:val="0D237449"/>
    <w:rsid w:val="0D75280E"/>
    <w:rsid w:val="0D8B77C4"/>
    <w:rsid w:val="12D722D5"/>
    <w:rsid w:val="1505698D"/>
    <w:rsid w:val="192C64D3"/>
    <w:rsid w:val="196F5EA1"/>
    <w:rsid w:val="1AB1382C"/>
    <w:rsid w:val="1B3B51BE"/>
    <w:rsid w:val="1CD13F56"/>
    <w:rsid w:val="1DDC11FF"/>
    <w:rsid w:val="1E146954"/>
    <w:rsid w:val="244F40D1"/>
    <w:rsid w:val="24A153DE"/>
    <w:rsid w:val="25E84455"/>
    <w:rsid w:val="29A32CB3"/>
    <w:rsid w:val="2A552882"/>
    <w:rsid w:val="2F607D6F"/>
    <w:rsid w:val="379539FF"/>
    <w:rsid w:val="3C3C62AD"/>
    <w:rsid w:val="427A700D"/>
    <w:rsid w:val="43D1288F"/>
    <w:rsid w:val="43EE75F2"/>
    <w:rsid w:val="45932783"/>
    <w:rsid w:val="46D710BF"/>
    <w:rsid w:val="498F3BF2"/>
    <w:rsid w:val="49B229BD"/>
    <w:rsid w:val="4BF60A63"/>
    <w:rsid w:val="4CD54926"/>
    <w:rsid w:val="4D2F57FA"/>
    <w:rsid w:val="52737555"/>
    <w:rsid w:val="52B82114"/>
    <w:rsid w:val="57F45D76"/>
    <w:rsid w:val="59911FD7"/>
    <w:rsid w:val="5DA336BF"/>
    <w:rsid w:val="5E005BB8"/>
    <w:rsid w:val="5FB91307"/>
    <w:rsid w:val="652C6D46"/>
    <w:rsid w:val="66A54EDE"/>
    <w:rsid w:val="694C3B42"/>
    <w:rsid w:val="6B43739A"/>
    <w:rsid w:val="70616548"/>
    <w:rsid w:val="706E33AD"/>
    <w:rsid w:val="70C5237A"/>
    <w:rsid w:val="71175551"/>
    <w:rsid w:val="728C73A4"/>
    <w:rsid w:val="760F67CF"/>
    <w:rsid w:val="783C3A4B"/>
    <w:rsid w:val="7A43272C"/>
    <w:rsid w:val="7D202558"/>
    <w:rsid w:val="AAFF0650"/>
    <w:rsid w:val="D623D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spacing w:before="260" w:after="220"/>
      <w:outlineLvl w:val="0"/>
    </w:pPr>
    <w:rPr>
      <w:rFonts w:ascii="Arial" w:hAnsi="Arial"/>
      <w:b/>
      <w:kern w:val="44"/>
      <w:sz w:val="36"/>
    </w:rPr>
  </w:style>
  <w:style w:type="paragraph" w:styleId="3">
    <w:name w:val="heading 2"/>
    <w:basedOn w:val="1"/>
    <w:next w:val="1"/>
    <w:qFormat/>
    <w:uiPriority w:val="0"/>
    <w:pPr>
      <w:spacing w:before="0" w:beforeAutospacing="1" w:after="0" w:afterAutospacing="1"/>
      <w:jc w:val="left"/>
    </w:pPr>
    <w:rPr>
      <w:rFonts w:hint="eastAsia" w:ascii="宋体" w:hAnsi="宋体" w:eastAsia="宋体" w:cs="宋体"/>
      <w:b/>
      <w:bCs/>
      <w:kern w:val="0"/>
      <w:sz w:val="36"/>
      <w:szCs w:val="36"/>
      <w:lang w:val="en-US" w:eastAsia="zh-CN"/>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4">
    <w:name w:val="Body Text"/>
    <w:basedOn w:val="1"/>
    <w:next w:val="1"/>
    <w:semiHidden/>
    <w:qFormat/>
    <w:uiPriority w:val="0"/>
    <w:rPr>
      <w:rFonts w:ascii="Arial" w:hAnsi="Arial" w:eastAsia="Arial" w:cs="Arial"/>
      <w:sz w:val="21"/>
      <w:szCs w:val="21"/>
      <w:lang w:val="en-US" w:eastAsia="en-US"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8">
    <w:name w:val="Strong"/>
    <w:basedOn w:val="7"/>
    <w:qFormat/>
    <w:uiPriority w:val="0"/>
    <w:rPr>
      <w:b/>
    </w:rPr>
  </w:style>
  <w:style w:type="character" w:customStyle="1" w:styleId="9">
    <w:name w:val="font41"/>
    <w:basedOn w:val="7"/>
    <w:qFormat/>
    <w:uiPriority w:val="0"/>
    <w:rPr>
      <w:rFonts w:hint="eastAsia" w:ascii="宋体" w:hAnsi="宋体" w:eastAsia="宋体" w:cs="宋体"/>
      <w:color w:val="000000"/>
      <w:sz w:val="24"/>
      <w:szCs w:val="24"/>
      <w:u w:val="none"/>
    </w:rPr>
  </w:style>
  <w:style w:type="character" w:customStyle="1" w:styleId="10">
    <w:name w:val="font61"/>
    <w:basedOn w:val="7"/>
    <w:qFormat/>
    <w:uiPriority w:val="0"/>
    <w:rPr>
      <w:rFonts w:ascii="微软雅黑" w:hAnsi="微软雅黑" w:eastAsia="微软雅黑" w:cs="微软雅黑"/>
      <w:color w:val="000000"/>
      <w:sz w:val="24"/>
      <w:szCs w:val="24"/>
      <w:u w:val="none"/>
    </w:rPr>
  </w:style>
  <w:style w:type="character" w:customStyle="1" w:styleId="11">
    <w:name w:val="font71"/>
    <w:basedOn w:val="7"/>
    <w:qFormat/>
    <w:uiPriority w:val="0"/>
    <w:rPr>
      <w:rFonts w:ascii="微软雅黑" w:hAnsi="微软雅黑" w:eastAsia="微软雅黑" w:cs="微软雅黑"/>
      <w:color w:val="000000"/>
      <w:sz w:val="24"/>
      <w:szCs w:val="24"/>
      <w:u w:val="none"/>
    </w:rPr>
  </w:style>
  <w:style w:type="character" w:customStyle="1" w:styleId="12">
    <w:name w:val="font81"/>
    <w:basedOn w:val="7"/>
    <w:qFormat/>
    <w:uiPriority w:val="0"/>
    <w:rPr>
      <w:rFonts w:hint="default" w:ascii="Times New Roman" w:hAnsi="Times New Roman" w:cs="Times New Roman"/>
      <w:color w:val="000000"/>
      <w:sz w:val="24"/>
      <w:szCs w:val="24"/>
      <w:u w:val="none"/>
    </w:rPr>
  </w:style>
  <w:style w:type="paragraph" w:customStyle="1" w:styleId="13">
    <w:name w:val="Body text|1"/>
    <w:link w:val="14"/>
    <w:qFormat/>
    <w:uiPriority w:val="0"/>
    <w:pPr>
      <w:widowControl w:val="0"/>
      <w:shd w:val="clear" w:color="auto" w:fill="auto"/>
      <w:spacing w:line="413" w:lineRule="auto"/>
      <w:ind w:firstLine="400"/>
    </w:pPr>
    <w:rPr>
      <w:rFonts w:ascii="宋体" w:hAnsi="宋体" w:eastAsia="宋体" w:cs="宋体"/>
      <w:sz w:val="19"/>
      <w:szCs w:val="19"/>
      <w:u w:val="none"/>
      <w:lang w:val="zh-CN" w:eastAsia="zh-CN" w:bidi="zh-CN"/>
    </w:rPr>
  </w:style>
  <w:style w:type="character" w:customStyle="1" w:styleId="14">
    <w:name w:val="Body text|1_"/>
    <w:basedOn w:val="7"/>
    <w:link w:val="13"/>
    <w:qFormat/>
    <w:uiPriority w:val="0"/>
    <w:rPr>
      <w:rFonts w:ascii="宋体" w:hAnsi="宋体" w:eastAsia="宋体" w:cs="宋体"/>
      <w:sz w:val="19"/>
      <w:szCs w:val="19"/>
      <w:u w:val="none"/>
      <w:lang w:val="zh-CN" w:eastAsia="zh-CN" w:bidi="zh-CN"/>
    </w:rPr>
  </w:style>
  <w:style w:type="paragraph" w:customStyle="1" w:styleId="15">
    <w:name w:val="Heading #2|1"/>
    <w:basedOn w:val="1"/>
    <w:link w:val="16"/>
    <w:qFormat/>
    <w:uiPriority w:val="0"/>
    <w:pPr>
      <w:widowControl w:val="0"/>
      <w:shd w:val="clear" w:color="auto" w:fill="auto"/>
      <w:spacing w:line="322" w:lineRule="auto"/>
      <w:outlineLvl w:val="1"/>
    </w:pPr>
    <w:rPr>
      <w:rFonts w:ascii="宋体" w:hAnsi="宋体" w:eastAsia="宋体" w:cs="宋体"/>
      <w:b/>
      <w:bCs/>
      <w:sz w:val="20"/>
      <w:szCs w:val="20"/>
      <w:u w:val="none"/>
      <w:lang w:val="zh-CN" w:eastAsia="zh-CN" w:bidi="zh-CN"/>
    </w:rPr>
  </w:style>
  <w:style w:type="character" w:customStyle="1" w:styleId="16">
    <w:name w:val="Heading #2|1_"/>
    <w:basedOn w:val="7"/>
    <w:link w:val="15"/>
    <w:qFormat/>
    <w:uiPriority w:val="0"/>
    <w:rPr>
      <w:rFonts w:ascii="宋体" w:hAnsi="宋体" w:eastAsia="宋体" w:cs="宋体"/>
      <w:b/>
      <w:bCs/>
      <w:sz w:val="20"/>
      <w:szCs w:val="20"/>
      <w:u w:val="none"/>
      <w:lang w:val="zh-CN" w:eastAsia="zh-CN" w:bidi="zh-CN"/>
    </w:rPr>
  </w:style>
  <w:style w:type="paragraph" w:customStyle="1" w:styleId="17">
    <w:name w:val="null3"/>
    <w:hidden/>
    <w:qFormat/>
    <w:uiPriority w:val="0"/>
    <w:rPr>
      <w:rFonts w:hint="eastAsia" w:asciiTheme="minorHAnsi" w:hAnsiTheme="minorHAnsi" w:eastAsiaTheme="minorEastAsia" w:cstheme="minorBidi"/>
      <w:lang w:val="en-US" w:eastAsia="zh-Hans"/>
    </w:rPr>
  </w:style>
  <w:style w:type="character" w:customStyle="1" w:styleId="18">
    <w:name w:val="font31"/>
    <w:basedOn w:val="7"/>
    <w:qFormat/>
    <w:uiPriority w:val="0"/>
    <w:rPr>
      <w:rFonts w:ascii="东文宋体" w:hAnsi="东文宋体" w:eastAsia="东文宋体" w:cs="东文宋体"/>
      <w:color w:val="000000"/>
      <w:sz w:val="24"/>
      <w:szCs w:val="24"/>
      <w:u w:val="none"/>
    </w:rPr>
  </w:style>
  <w:style w:type="character" w:customStyle="1" w:styleId="19">
    <w:name w:val="font1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7577</Words>
  <Characters>7932</Characters>
  <Paragraphs>5283</Paragraphs>
  <TotalTime>11</TotalTime>
  <ScaleCrop>false</ScaleCrop>
  <LinksUpToDate>false</LinksUpToDate>
  <CharactersWithSpaces>7962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2025-04-01T13:39:00Z</dcterms:created>
  <dc:creator>Administrator</dc:creator>
  <cp:lastModifiedBy>uos</cp:lastModifiedBy>
  <dcterms:modified xsi:type="dcterms:W3CDTF">2026-05-29T16:47:17Z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KSOTemplateDocerSaveRecord">
    <vt:lpwstr>eyJoZGlkIjoiYWUzMzcwNDYzZWVhZjU1YjdkYjIwMzg5ZTFmY2Y1NmYiLCJ1c2VySWQiOiI0Mjg3OTEzODYifQ==</vt:lpwstr>
  </property>
  <property fmtid="{D5CDD505-2E9C-101B-9397-08002B2CF9AE}" pid="4" name="ICV">
    <vt:lpwstr>B319FC516F404378BEB267E1716F0545_13</vt:lpwstr>
  </property>
</Properties>
</file>