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3C0C">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sz w:val="72"/>
          <w:szCs w:val="72"/>
        </w:rPr>
      </w:pPr>
    </w:p>
    <w:p w14:paraId="0E1C5D4A">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福建省政府采购</w:t>
      </w:r>
    </w:p>
    <w:p w14:paraId="2268C5A3">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货物和服务项目</w:t>
      </w:r>
    </w:p>
    <w:p w14:paraId="3B013BCC">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sz w:val="72"/>
          <w:szCs w:val="72"/>
        </w:rPr>
      </w:pPr>
      <w:r>
        <w:rPr>
          <w:rFonts w:hint="eastAsia" w:ascii="宋体" w:hAnsi="宋体" w:eastAsia="宋体" w:cs="宋体"/>
          <w:b/>
          <w:sz w:val="72"/>
          <w:szCs w:val="72"/>
        </w:rPr>
        <w:t>公开招标文件</w:t>
      </w:r>
    </w:p>
    <w:p w14:paraId="64312887">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b/>
          <w:sz w:val="32"/>
          <w:szCs w:val="32"/>
        </w:rPr>
      </w:pPr>
    </w:p>
    <w:p w14:paraId="2172EF2D">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b/>
          <w:sz w:val="32"/>
          <w:szCs w:val="32"/>
        </w:rPr>
      </w:pPr>
    </w:p>
    <w:p w14:paraId="71ECAEB4">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项目名称：2025-2026年乌龙江公园淮安大桥至湾边大桥段（不含沙滩公园）绿化养护服务项目</w:t>
      </w:r>
    </w:p>
    <w:p w14:paraId="0F7451E3">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备案编号：CGXM-2024-350101-04283[2024]01998</w:t>
      </w:r>
    </w:p>
    <w:p w14:paraId="773F0D17">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项目编号：[350101]FJLQ[GK]2024007</w:t>
      </w:r>
    </w:p>
    <w:p w14:paraId="4BA252EE">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b/>
          <w:sz w:val="32"/>
          <w:szCs w:val="32"/>
        </w:rPr>
      </w:pPr>
    </w:p>
    <w:p w14:paraId="2EEA84EE">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b/>
          <w:sz w:val="32"/>
          <w:szCs w:val="32"/>
        </w:rPr>
      </w:pPr>
    </w:p>
    <w:p w14:paraId="34EF2E9C">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采购人：福州市乌龙江公园管理处</w:t>
      </w:r>
    </w:p>
    <w:p w14:paraId="4DDDBF7A">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代理机构：福建立勤项目管理有限公司</w:t>
      </w:r>
    </w:p>
    <w:p w14:paraId="6A3E768D">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b/>
          <w:sz w:val="32"/>
          <w:szCs w:val="32"/>
        </w:rPr>
      </w:pPr>
    </w:p>
    <w:p w14:paraId="4DEC71C8">
      <w:pPr>
        <w:pStyle w:val="6"/>
        <w:keepNext w:val="0"/>
        <w:keepLines w:val="0"/>
        <w:pageBreakBefore w:val="0"/>
        <w:kinsoku/>
        <w:wordWrap/>
        <w:overflowPunct/>
        <w:topLinePunct w:val="0"/>
        <w:autoSpaceDE/>
        <w:autoSpaceDN/>
        <w:bidi w:val="0"/>
        <w:adjustRightInd w:val="0"/>
        <w:snapToGrid w:val="0"/>
        <w:spacing w:line="360" w:lineRule="auto"/>
        <w:ind w:left="0"/>
        <w:jc w:val="center"/>
        <w:textAlignment w:val="auto"/>
        <w:outlineLvl w:val="2"/>
        <w:rPr>
          <w:rFonts w:hint="eastAsia" w:ascii="宋体" w:hAnsi="宋体" w:eastAsia="宋体" w:cs="宋体"/>
          <w:sz w:val="32"/>
          <w:szCs w:val="32"/>
        </w:rPr>
      </w:pPr>
      <w:r>
        <w:rPr>
          <w:rFonts w:hint="eastAsia" w:ascii="宋体" w:hAnsi="宋体" w:eastAsia="宋体" w:cs="宋体"/>
          <w:b/>
          <w:sz w:val="32"/>
          <w:szCs w:val="32"/>
        </w:rPr>
        <w:t>编制时间：2024年10月</w:t>
      </w:r>
    </w:p>
    <w:p w14:paraId="4585995A">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7E2274E">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第一章 投标邀请</w:t>
      </w:r>
    </w:p>
    <w:p w14:paraId="35BE134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福建立勤项目管理有限公司 采用公开招标方式组织 2025-2026年乌龙江公园淮安大桥至湾边大桥段（不含沙滩公园）绿化养护服务项目 （以下简称：“本项目”）的政府采购活动，现邀请供应商参加投标。</w:t>
      </w:r>
    </w:p>
    <w:p w14:paraId="547E374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1、备案编号：CGXM-2024-350101-04283[2024]01998</w:t>
      </w:r>
    </w:p>
    <w:p w14:paraId="1F7884F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2、项目编号：[350101]FJLQ[GK]2024007</w:t>
      </w:r>
    </w:p>
    <w:p w14:paraId="3831A20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34B40FC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21B2993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1388DBF6">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进口产品：不适用于本项目。</w:t>
      </w:r>
    </w:p>
    <w:p w14:paraId="44FE05DA">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节能产品：不适用于本项目。</w:t>
      </w:r>
    </w:p>
    <w:p w14:paraId="276BD07F">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环境标志产品：不适用于本项目。</w:t>
      </w:r>
    </w:p>
    <w:p w14:paraId="3F57C486">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66621203">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采购包1：专门采购包预留</w:t>
      </w:r>
    </w:p>
    <w:p w14:paraId="7022FE74">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14:paraId="48DA1BA5">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预留形式：专门采购包预留</w:t>
      </w:r>
    </w:p>
    <w:p w14:paraId="70D246F2">
      <w:pPr>
        <w:pStyle w:val="6"/>
        <w:keepNext w:val="0"/>
        <w:keepLines w:val="0"/>
        <w:pageBreakBefore w:val="0"/>
        <w:kinsoku/>
        <w:wordWrap/>
        <w:overflowPunct/>
        <w:topLinePunct w:val="0"/>
        <w:autoSpaceDE/>
        <w:autoSpaceDN/>
        <w:bidi w:val="0"/>
        <w:adjustRightInd w:val="0"/>
        <w:snapToGrid w:val="0"/>
        <w:spacing w:line="24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14:paraId="5A85083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6880C134">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585D76DF">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6.2特定条件：</w:t>
      </w:r>
    </w:p>
    <w:p w14:paraId="1795CD3F">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5ACC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331836A">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27AC1BB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5CF80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56608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7905A50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福建省财政厅关于印发推行政府采购供应商资格承诺制指导意见的通知》（闽财购〔2024〕6号）的规定，依法在福建省参与政府采购活动的供应商，可提供《政府采购供应商资格承诺函》(以下简称《承诺函》，格式见附件)。说明：供应商可自行选择是否提供承诺函；若按上述规定提供承诺函的，在投标(响应)文件中可不提供“营业执照等证明文件”、“财务状况报告(财务报告、或资信证明）”、“依法缴纳税收证明材料”、“依法缴纳社会保障资金证明材料”、“具备履行合同所必需设备和专业技术能力的声明函（若有）”和“参加采购活动前三年内在经营活动中没有重大违法记录的声明”，供应商应对其承诺内容的真实性、合法性、有效性负责；若未按上述规定提供承诺函的，应按采购文件要求提供相应的证明材料；若采购文件中有与此处描述不一致的，以此处描述为准。</w:t>
            </w:r>
          </w:p>
        </w:tc>
      </w:tr>
      <w:tr w14:paraId="742F9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DF969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14:paraId="4FD5C6A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其他未列明行业。</w:t>
            </w:r>
          </w:p>
        </w:tc>
      </w:tr>
    </w:tbl>
    <w:p w14:paraId="6CBD7D60">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14:paraId="63EBF643">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14:paraId="3DF7FF5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00E4080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53D70E76">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015C387E">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191F03E4">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3910FA11">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14:paraId="43E2D62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104E3ABB">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65D82B84">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7C14E0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4A5F9069">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02D422C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2D0A1C18">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06CC5546">
      <w:pPr>
        <w:pStyle w:val="6"/>
        <w:keepNext w:val="0"/>
        <w:keepLines w:val="0"/>
        <w:pageBreakBefore w:val="0"/>
        <w:kinsoku/>
        <w:wordWrap/>
        <w:overflowPunct/>
        <w:topLinePunct w:val="0"/>
        <w:autoSpaceDE/>
        <w:autoSpaceDN/>
        <w:bidi w:val="0"/>
        <w:adjustRightInd w:val="0"/>
        <w:snapToGrid w:val="0"/>
        <w:spacing w:line="240" w:lineRule="auto"/>
        <w:ind w:left="0" w:firstLine="960"/>
        <w:jc w:val="both"/>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22371F3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11、采购人：福州市乌龙江公园管理处</w:t>
      </w:r>
    </w:p>
    <w:p w14:paraId="36C3C1C8">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 xml:space="preserve"> 地址： 福州市仓山区西三环路421号</w:t>
      </w:r>
    </w:p>
    <w:p w14:paraId="13BF764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邮编： 350028</w:t>
      </w:r>
    </w:p>
    <w:p w14:paraId="57A7A58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联系人： 郑国华</w:t>
      </w:r>
    </w:p>
    <w:p w14:paraId="1A3A0AC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 0591-87604611</w:t>
      </w:r>
    </w:p>
    <w:p w14:paraId="16A72B8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12、代理机构：福建立勤项目管理有限公司</w:t>
      </w:r>
    </w:p>
    <w:p w14:paraId="6E400ED4">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地址： 福州市工业路523号福大怡山文化创意园北区3号楼101二层</w:t>
      </w:r>
    </w:p>
    <w:p w14:paraId="019DBE0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邮编： 350002</w:t>
      </w:r>
    </w:p>
    <w:p w14:paraId="0E99869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联系人： 徐朕、刘丽花、王炜林、林瑜</w:t>
      </w:r>
    </w:p>
    <w:p w14:paraId="69ED872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 0591-63037665</w:t>
      </w:r>
    </w:p>
    <w:p w14:paraId="458DC84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B08A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0CDDC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p w14:paraId="72D2441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p>
        </w:tc>
      </w:tr>
      <w:tr w14:paraId="31E9D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E7463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开户名称： 福建立勤项目管理有限公司</w:t>
            </w:r>
          </w:p>
        </w:tc>
      </w:tr>
      <w:tr w14:paraId="028DA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F181E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05E48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343C8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4A45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46F81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14:paraId="5BA89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37C44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5F52BED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5EBC436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13A1EC5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486AACC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7,416,000.00</w:t>
      </w:r>
    </w:p>
    <w:p w14:paraId="0F599D5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7,416,000.00</w:t>
      </w:r>
    </w:p>
    <w:p w14:paraId="5B76615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1296"/>
        <w:gridCol w:w="1135"/>
        <w:gridCol w:w="1656"/>
        <w:gridCol w:w="1109"/>
        <w:gridCol w:w="1109"/>
        <w:gridCol w:w="1109"/>
      </w:tblGrid>
      <w:tr w14:paraId="512EC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6D641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87" w:type="dxa"/>
          </w:tcPr>
          <w:p w14:paraId="68984C3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tcPr>
          <w:p w14:paraId="3D68C4E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0B94C67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tcPr>
          <w:p w14:paraId="1BC59F0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187" w:type="dxa"/>
          </w:tcPr>
          <w:p w14:paraId="01B0F93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187" w:type="dxa"/>
          </w:tcPr>
          <w:p w14:paraId="636CA8C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196FE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CFE86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7438773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2025-2026年乌龙江公园淮安大桥至湾边大桥段（不含沙滩公园）绿化养护服务项目</w:t>
            </w:r>
          </w:p>
        </w:tc>
        <w:tc>
          <w:tcPr>
            <w:tcW w:w="1187" w:type="dxa"/>
          </w:tcPr>
          <w:p w14:paraId="2898A607">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1187" w:type="dxa"/>
          </w:tcPr>
          <w:p w14:paraId="2119B430">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7,416,000.00</w:t>
            </w:r>
          </w:p>
        </w:tc>
        <w:tc>
          <w:tcPr>
            <w:tcW w:w="1187" w:type="dxa"/>
          </w:tcPr>
          <w:p w14:paraId="744BAEF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年</w:t>
            </w:r>
          </w:p>
        </w:tc>
        <w:tc>
          <w:tcPr>
            <w:tcW w:w="1187" w:type="dxa"/>
          </w:tcPr>
          <w:p w14:paraId="0305F88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87" w:type="dxa"/>
          </w:tcPr>
          <w:p w14:paraId="7F6A4C3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14:paraId="352216C7">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8988A3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第二章 投标人须知前附表</w:t>
      </w:r>
    </w:p>
    <w:p w14:paraId="2C22D05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4"/>
        <w:gridCol w:w="1527"/>
        <w:gridCol w:w="6171"/>
      </w:tblGrid>
      <w:tr w14:paraId="53D04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79BB1D8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06718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56907E3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27" w:type="dxa"/>
          </w:tcPr>
          <w:p w14:paraId="4BD1046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招标文件</w:t>
            </w:r>
          </w:p>
          <w:p w14:paraId="1118FE2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（第三章）</w:t>
            </w:r>
          </w:p>
        </w:tc>
        <w:tc>
          <w:tcPr>
            <w:tcW w:w="6171" w:type="dxa"/>
          </w:tcPr>
          <w:p w14:paraId="4F1A11A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14:paraId="6A6A2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5DEC0E9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27" w:type="dxa"/>
          </w:tcPr>
          <w:p w14:paraId="25309AB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6171" w:type="dxa"/>
          </w:tcPr>
          <w:p w14:paraId="1D962C8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1998197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采购包1：不组织</w:t>
            </w:r>
          </w:p>
        </w:tc>
      </w:tr>
      <w:tr w14:paraId="7333C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78002E7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27" w:type="dxa"/>
          </w:tcPr>
          <w:p w14:paraId="47D7E0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6171" w:type="dxa"/>
          </w:tcPr>
          <w:p w14:paraId="2978BC2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投标文件的份数：</w:t>
            </w:r>
          </w:p>
          <w:p w14:paraId="1ECEC4D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615AFCF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19D0E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723F7CD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27" w:type="dxa"/>
          </w:tcPr>
          <w:p w14:paraId="3D84BD1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10.7-（1）</w:t>
            </w:r>
          </w:p>
        </w:tc>
        <w:tc>
          <w:tcPr>
            <w:tcW w:w="6171" w:type="dxa"/>
          </w:tcPr>
          <w:p w14:paraId="2EB1B3D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04ED425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2A0AA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75CEB43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27" w:type="dxa"/>
          </w:tcPr>
          <w:p w14:paraId="488C4E1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10.8-（1）</w:t>
            </w:r>
          </w:p>
        </w:tc>
        <w:tc>
          <w:tcPr>
            <w:tcW w:w="6171" w:type="dxa"/>
          </w:tcPr>
          <w:p w14:paraId="315E027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24359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311B154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27" w:type="dxa"/>
          </w:tcPr>
          <w:p w14:paraId="28F31C6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6171" w:type="dxa"/>
          </w:tcPr>
          <w:p w14:paraId="42C7DF0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确定中标候选人名单：</w:t>
            </w:r>
          </w:p>
          <w:p w14:paraId="3DE615C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14:paraId="2224C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45750B2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27" w:type="dxa"/>
          </w:tcPr>
          <w:p w14:paraId="298C641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6171" w:type="dxa"/>
          </w:tcPr>
          <w:p w14:paraId="1364E98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1BDDF09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 采购人应在政府采购招投标管理办法规定的时限内确定中标人。</w:t>
            </w:r>
          </w:p>
          <w:p w14:paraId="024ABD9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（2）若出现中标候选人并列情形，则按照下列方式确定中标人：</w:t>
            </w:r>
          </w:p>
          <w:p w14:paraId="6F1DA56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①招标文件规定的方式：</w:t>
            </w:r>
          </w:p>
          <w:p w14:paraId="2591558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64C81A8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②若本款第①点规定方式为“无”，则按照下列方式确定：</w:t>
            </w:r>
          </w:p>
          <w:p w14:paraId="060E4C1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7FC0799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③若本款第①、②点规定方式均为“无”，则按照下列方式确定：随机抽取。</w:t>
            </w:r>
          </w:p>
          <w:p w14:paraId="15FE027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（3）本项目确定的中标人家数：</w:t>
            </w:r>
          </w:p>
          <w:p w14:paraId="76EBDEB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采购包1：1名</w:t>
            </w:r>
          </w:p>
        </w:tc>
      </w:tr>
      <w:tr w14:paraId="4A5F5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10A0F71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27" w:type="dxa"/>
          </w:tcPr>
          <w:p w14:paraId="07BC131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6171" w:type="dxa"/>
          </w:tcPr>
          <w:p w14:paraId="01AC711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57D87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65E7488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27" w:type="dxa"/>
          </w:tcPr>
          <w:p w14:paraId="6EF8069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15.1-（2）</w:t>
            </w:r>
          </w:p>
        </w:tc>
        <w:tc>
          <w:tcPr>
            <w:tcW w:w="6171" w:type="dxa"/>
          </w:tcPr>
          <w:p w14:paraId="314ABF5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5EC07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51E1FB7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27" w:type="dxa"/>
          </w:tcPr>
          <w:p w14:paraId="36C1EDC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15.4</w:t>
            </w:r>
          </w:p>
        </w:tc>
        <w:tc>
          <w:tcPr>
            <w:tcW w:w="6171" w:type="dxa"/>
          </w:tcPr>
          <w:p w14:paraId="7F81D6B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招标文件的质疑</w:t>
            </w:r>
          </w:p>
          <w:p w14:paraId="6CE0D7E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（1）潜在投标人可在质疑时效期间内对招标文件以书面形式提出质疑。</w:t>
            </w:r>
          </w:p>
          <w:p w14:paraId="50FD17D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（2）质疑时效期间：应在依法获取招标文件之日起7个工作日内向 福建立勤项目管理有限公司 提出，依法获取招标文件的时间以福建省政府采购网上公开信息系统记载的为准。</w:t>
            </w:r>
          </w:p>
          <w:p w14:paraId="0C3E97F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※除上述规定外，对招标文件提出的质疑还应符合招标文件第三章第15.1条的有关规定。</w:t>
            </w:r>
          </w:p>
        </w:tc>
      </w:tr>
      <w:tr w14:paraId="6F6E1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49B9D22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27" w:type="dxa"/>
          </w:tcPr>
          <w:p w14:paraId="1F77691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6171" w:type="dxa"/>
          </w:tcPr>
          <w:p w14:paraId="5E077B3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监督管理部门： 福州市财政局 （仅限依法进行政府采购的货物或服务类项目）。</w:t>
            </w:r>
          </w:p>
        </w:tc>
      </w:tr>
      <w:tr w14:paraId="638C4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0022F39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27" w:type="dxa"/>
          </w:tcPr>
          <w:p w14:paraId="7F4A0DE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6171" w:type="dxa"/>
          </w:tcPr>
          <w:p w14:paraId="57DA440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2AFA151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75DD3DC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2DAE6C8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323D4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6C92C80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27" w:type="dxa"/>
          </w:tcPr>
          <w:p w14:paraId="57533AA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6171" w:type="dxa"/>
          </w:tcPr>
          <w:p w14:paraId="745D7DD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其他事项：</w:t>
            </w:r>
          </w:p>
          <w:p w14:paraId="3A7367F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2B35D80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本项目收取代理服务费</w:t>
            </w:r>
          </w:p>
          <w:p w14:paraId="0BA56A5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2C4868C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代理服务费收费标准：采购包中标金额在100万元以内按1.5%计算，100-500万按0.8%计算，500-1000万按0.45%计算，按差额累进法计算向中标人收取。招标代理服务费缴交银行帐号开户名：福建立勤项目管理有限公司开户行：中国工商银行福州市鼓楼支行账号：1402 0232 0960 0058 290。</w:t>
            </w:r>
          </w:p>
          <w:p w14:paraId="4D4CCFA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(2)其他：</w:t>
            </w:r>
          </w:p>
          <w:p w14:paraId="28DE186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人在递交质疑函时除提供本招标文件规定的相关材料外，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递交质疑函时还应出具质疑人已获取本项目招标文件的相关截图复印件，否则递交的质疑函将不予受理。④接收质疑函的方式、联系部门、联系电话和通讯地址：1)接收质疑函的方式：书面原件形式；2)接收质疑函的联系部门：项目部；3)接收质疑函的联系方式：联系人：徐朕，联系电话：0591-63037665；4)接收质疑函的通讯地址：福州市鼓楼区工业路523号福大怡山文化创意园3号楼101二层。(3)投标将被拒绝、无效投标（或投标无效）及废标条款：①出现第二章投标人须知前附表中表2规定的无效投标（或投标无效）、投标将被拒绝的；②出现第三章投标人须知第9、10.6、10.8、10.9、10.12条款中无效投标（或投标无效）规定的；③出现第四章“一、资格审查”与“二、评标”中无效投标（或投标无效）或废标规定的（资格及符合性审查不合格的情形）；④出现第五章招标内容及要求中“无效投标（或投标无效）”；⑤出现第七章投标文件格式中无效投标（或投标无效）规定的情形。</w:t>
            </w:r>
          </w:p>
        </w:tc>
      </w:tr>
      <w:tr w14:paraId="6D708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1" w:type="dxa"/>
            <w:gridSpan w:val="2"/>
          </w:tcPr>
          <w:p w14:paraId="1CAFA27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6171" w:type="dxa"/>
          </w:tcPr>
          <w:p w14:paraId="6F7066E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06D67FF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7496"/>
      </w:tblGrid>
      <w:tr w14:paraId="30C2B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5236A3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1DB08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7E0CCE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496" w:type="dxa"/>
          </w:tcPr>
          <w:p w14:paraId="6B72B94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14:paraId="259A7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108E475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496" w:type="dxa"/>
          </w:tcPr>
          <w:p w14:paraId="0D2FD40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7D5F19E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（2）将招标文件</w:t>
            </w:r>
          </w:p>
          <w:p w14:paraId="34E4547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0E0985E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760012A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1519837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5F65402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②关于电子投标文件：</w:t>
            </w:r>
          </w:p>
          <w:p w14:paraId="074C3B1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5BAB461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6120325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③关于证明材料或资料：</w:t>
            </w:r>
          </w:p>
          <w:p w14:paraId="3DED23F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0E135E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562AEC0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4BDF8EB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026682C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6252684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0D9E9BD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⑤关于投标人的CA证书：</w:t>
            </w:r>
          </w:p>
          <w:p w14:paraId="36B0D85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7C2C17B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599CDD8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2999191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67C627E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2C63F64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45CEFFC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560EBD5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73DD27C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307C1B7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778CB9A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2EAE90D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65D616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⑧其他：</w:t>
            </w:r>
          </w:p>
          <w:p w14:paraId="6B0417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电子化招标、非招标项目视为串通情形的认定及处理的相关条款详见《关于福建省财政厅关于电子化政府采购项目中视为串标情形认定与处理的指导意见》（闽财购〔2018〕30号）文件。</w:t>
            </w:r>
          </w:p>
        </w:tc>
      </w:tr>
    </w:tbl>
    <w:p w14:paraId="019C53BD">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A79786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第三章 投标人须知</w:t>
      </w:r>
    </w:p>
    <w:p w14:paraId="6B036F9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一、总则</w:t>
      </w:r>
    </w:p>
    <w:p w14:paraId="4C2C18F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1、适用范围</w:t>
      </w:r>
    </w:p>
    <w:p w14:paraId="30393A8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3B3811C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2、定义</w:t>
      </w:r>
    </w:p>
    <w:p w14:paraId="22D1EC8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6EFE4F1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5830921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328B072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7E0912F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2A0AD58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0033E2B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3、合格投标人</w:t>
      </w:r>
    </w:p>
    <w:p w14:paraId="2DB0BC2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3.1一般规定</w:t>
      </w:r>
    </w:p>
    <w:p w14:paraId="677B143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D09FBF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3BDA552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0B63C40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6D69BCC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4322442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2C0FEC9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30DA13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24EDF48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22E4094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4、投标费用</w:t>
      </w:r>
    </w:p>
    <w:p w14:paraId="126FAC4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3A877FC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三、招标</w:t>
      </w:r>
    </w:p>
    <w:p w14:paraId="2AAAE21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5、招标文件</w:t>
      </w:r>
    </w:p>
    <w:p w14:paraId="36AA5B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15D88E3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（1）投标邀请</w:t>
      </w:r>
    </w:p>
    <w:p w14:paraId="261005A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（2）投标人须知前附表（表1、2）</w:t>
      </w:r>
    </w:p>
    <w:p w14:paraId="72F34C2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14:paraId="26D3AA9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14:paraId="6A04A58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14:paraId="2330F7A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（6）政府采购合同（参考文本）</w:t>
      </w:r>
    </w:p>
    <w:p w14:paraId="675D3E6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（7）电子投标文件格式</w:t>
      </w:r>
    </w:p>
    <w:p w14:paraId="63DAE5D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0169EDF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5D3F3A6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 福建立勤项目管理有限公司 可对已发出的招标文件进行必要的澄清或修改，但不得对招标文件载明的采购标的和投标人的资格要求进行改变。</w:t>
      </w:r>
    </w:p>
    <w:p w14:paraId="03D5DFB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14:paraId="2F8A89F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福建立勤项目管理有限公司 将依法组织后续采购活动（包括但不限于：重新招标、采用其他方式采购等）。</w:t>
      </w:r>
    </w:p>
    <w:p w14:paraId="1709367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49A8155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2ED3B90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7、更正公告</w:t>
      </w:r>
    </w:p>
    <w:p w14:paraId="596FA67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7.1若 福建立勤项目管理有限公司 发布更正公告，则更正公告及其所发布的内容或信息（包括但不限于：招标文件的澄清或修改、现场考察或答疑会的有关事宜等）作为招标文件组成部分，对投标人具有约束力。</w:t>
      </w:r>
    </w:p>
    <w:p w14:paraId="1FD0629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7.2更正公告作为 福建立勤项目管理有限公司 通知所有潜在投标人的书面形式。</w:t>
      </w:r>
    </w:p>
    <w:p w14:paraId="5202FAD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8、终止公告</w:t>
      </w:r>
    </w:p>
    <w:p w14:paraId="440E828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福建立勤项目管理有限公司 可终止招标并发布终止公告。</w:t>
      </w:r>
    </w:p>
    <w:p w14:paraId="3D0AE96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8.2终止公告作为 福建立勤项目管理有限公司 通知所有潜在投标人的书面形式。</w:t>
      </w:r>
    </w:p>
    <w:p w14:paraId="261512C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四、投标</w:t>
      </w:r>
    </w:p>
    <w:p w14:paraId="196D4DB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9、投标</w:t>
      </w:r>
    </w:p>
    <w:p w14:paraId="0A14A62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1A3D3D7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6C54F14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60FA07F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290B54A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6F7C057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3A450CC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1B6804C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2789302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75C431C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5E95F01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0B5372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50E400F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6397854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3E560EA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10、电子投标文件</w:t>
      </w:r>
    </w:p>
    <w:p w14:paraId="49531A2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10.1电子投标文件的编制</w:t>
      </w:r>
    </w:p>
    <w:p w14:paraId="20810CD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05A04D5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4921B10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20CDD4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589B110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14:paraId="5EDC1C6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①投标函</w:t>
      </w:r>
    </w:p>
    <w:p w14:paraId="5BDFF9F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6BDD02E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14:paraId="5C30D21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（2）报价部分</w:t>
      </w:r>
    </w:p>
    <w:p w14:paraId="58D3BB7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14:paraId="71526E8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14:paraId="0BD57C0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763BC86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5C93BE4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14:paraId="5FDC09D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14:paraId="01E2C00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2C262CE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14:paraId="5D7A917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A5F285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7B452C5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10.3电子投标文件的语言</w:t>
      </w:r>
    </w:p>
    <w:p w14:paraId="39A89EB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200CE71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53EE5E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4AB4A4F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10.5电子投标文件的格式</w:t>
      </w:r>
    </w:p>
    <w:p w14:paraId="34CD63A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1F012E3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0E74DBC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78FF249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71BC7FD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78D4224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14:paraId="5147208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a.投标人代表签字确认；</w:t>
      </w:r>
    </w:p>
    <w:p w14:paraId="6599056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362F498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10.6投标报价</w:t>
      </w:r>
    </w:p>
    <w:p w14:paraId="18AFBA6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23A8970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31B0A05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1AE9DA6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10.7分包</w:t>
      </w:r>
    </w:p>
    <w:p w14:paraId="2AC1B02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38A6430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182E18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4F1D846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3549C31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7674FBC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4B73EE0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1F11758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10.8投标有效期</w:t>
      </w:r>
    </w:p>
    <w:p w14:paraId="3CCFBEA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6BCC93B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693C55B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C5FF8D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10.9投标保证金</w:t>
      </w:r>
    </w:p>
    <w:p w14:paraId="58E6DC2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76491E6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0A460EA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（3）提交</w:t>
      </w:r>
    </w:p>
    <w:p w14:paraId="3521D60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FB89B0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CC5674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③其他形式：</w:t>
      </w:r>
    </w:p>
    <w:p w14:paraId="30DB7E9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无</w:t>
      </w:r>
    </w:p>
    <w:p w14:paraId="6ABDD77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7DDC59F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3336E5C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（4）退还</w:t>
      </w:r>
    </w:p>
    <w:p w14:paraId="79E5539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福建立勤项目管理有限公司 收到投标人书面撤回通知之日起5个工作日内退回原账户。</w:t>
      </w:r>
    </w:p>
    <w:p w14:paraId="7C01C4E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0E56FCF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573A622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④终止招标的， 福建立勤项目管理有限公司 将在终止公告发布之日起5个工作日内退回已收取的投标保证金及其在银行产生的孳息。</w:t>
      </w:r>
    </w:p>
    <w:p w14:paraId="2D7AE86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1E7CB89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777D013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DE448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47B3963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①投标人串通投标；</w:t>
      </w:r>
    </w:p>
    <w:p w14:paraId="25D944B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②投标人提供虚假材料；</w:t>
      </w:r>
    </w:p>
    <w:p w14:paraId="1D3CB28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0B74C94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70F02EB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7E0B266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2FD5024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5DEF62D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471F574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17014FA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10.10电子投标文件的提交</w:t>
      </w:r>
    </w:p>
    <w:p w14:paraId="010D5BD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02BF88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23541CF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福建立勤项目管理有限公司 。</w:t>
      </w:r>
    </w:p>
    <w:p w14:paraId="1CF5F29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64AC877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5BDAF07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707B98C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46255DA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59C8818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408E457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5CFF855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28E8480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五、开标</w:t>
      </w:r>
    </w:p>
    <w:p w14:paraId="628AAA0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11、开标</w:t>
      </w:r>
    </w:p>
    <w:p w14:paraId="10B60BF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11.1 福建立勤项目管理有限公司 将在招标文件载明的开标时间及地点主持召开开标会，并邀请投标人参加。</w:t>
      </w:r>
    </w:p>
    <w:p w14:paraId="745B0DC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福建立勤项目管理有限公司 派出，现场监督人员（若有）可由有关方面派出。</w:t>
      </w:r>
    </w:p>
    <w:p w14:paraId="49A5956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B05C3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1ADC572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2BDB06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7FEB076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171FCF2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42A247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7BF5890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14:paraId="4165814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福建立勤项目管理有限公司 将依法组织后续采购活动（包括但不限于：重新招标、采用其他方式采购等）。</w:t>
      </w:r>
    </w:p>
    <w:p w14:paraId="5DE969C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3A3A23D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53AA18C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0989DBB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12、中标</w:t>
      </w:r>
    </w:p>
    <w:p w14:paraId="58F7D7D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502EF97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0D403A5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12.3中标公告</w:t>
      </w:r>
    </w:p>
    <w:p w14:paraId="0EF9502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（1）中标人确定之日起2个工作日内， 福建立勤项目管理有限公司 将在招标文件载明的指定媒体以中标公告的形式发布中标结果。</w:t>
      </w:r>
    </w:p>
    <w:p w14:paraId="7A29C07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5386FD1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12.4中标通知书</w:t>
      </w:r>
    </w:p>
    <w:p w14:paraId="07A7F74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（1）中标公告发布的同时， 福建立勤项目管理有限公司 将向中标人发出中标通知书。</w:t>
      </w:r>
    </w:p>
    <w:p w14:paraId="787601B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54B29FA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13、政府采购合同</w:t>
      </w:r>
    </w:p>
    <w:p w14:paraId="38A605A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77B479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34C2223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2FEA976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62EC3AC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1A84063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3A875F6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186724D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14、询问</w:t>
      </w:r>
    </w:p>
    <w:p w14:paraId="7AC5B64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福建立勤项目管理有限公司 提出询问， 福建立勤项目管理有限公司 将按照政府采购法及实施条例的有关规定进行答复。</w:t>
      </w:r>
    </w:p>
    <w:p w14:paraId="2FBB7BE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15、质疑</w:t>
      </w:r>
    </w:p>
    <w:p w14:paraId="2F67C81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BA6A79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26BD1F4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62EE426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733A0C3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2F27745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5CD1875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01D4422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14:paraId="09B74F9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2E7C941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2227C24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631B54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0B5E45E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5C213B5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36AF04B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6C9844B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14FAF70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09C1577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0AD39EF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77ECA1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612A9B2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14:paraId="6E9B6DA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4A25922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3042D0B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4570813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3FA4C8A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27F00D8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7A3F23A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16、投诉</w:t>
      </w:r>
    </w:p>
    <w:p w14:paraId="158C5D3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CDB68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5B73362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7176472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6BBDFB9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6ABD23D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AE0D44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1FA2B61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43C324B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789D4C7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DCBA6B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875FB3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1AB1261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A37FD3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1240FD9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5761A81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55B1009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0FD85C3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065C85B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05997B7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63ACEB0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174F2E2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5BD425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E52AF8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5C8AFEF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3CE914D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3B632C9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0C82179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604F0A2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26218BC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0612546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5793BB3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808EBA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433B4F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7B5C967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38F54D9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705CFAC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5706E25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33EE909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0AD6999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1643B43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19、其他事项：</w:t>
      </w:r>
    </w:p>
    <w:p w14:paraId="37C3EA3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E5D54F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19.2其他：详见招标文件第二章。</w:t>
      </w:r>
    </w:p>
    <w:p w14:paraId="7D161789">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ADB7F49">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第四章 资格审查与评标</w:t>
      </w:r>
    </w:p>
    <w:p w14:paraId="27AEF3C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7DC5F79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1、开标结束后，由 福建立勤项目管理有限公司 负责资格审查小组的组建及资格审查工作的组织。</w:t>
      </w:r>
    </w:p>
    <w:p w14:paraId="645F4CA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1.1资格审查小组</w:t>
      </w:r>
    </w:p>
    <w:p w14:paraId="6EA62EE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14:paraId="0FFF33B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446DE99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1ED1ADB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（1）“投标函”；</w:t>
      </w:r>
    </w:p>
    <w:p w14:paraId="77683C6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3D9922D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①一般资格证明文件：</w:t>
      </w:r>
    </w:p>
    <w:p w14:paraId="128DD0D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23D0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6F834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2E10FD7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463E0A7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774E5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6F541A">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0668D84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606D836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38CF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ADFB6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6FC3821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074A8B8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303A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4A0FB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05F3337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123FC33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AB2B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878D3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01DD1F3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7217553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C082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20CB0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0798150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0BCBE05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5BAA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05E8E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7F89732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1078136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48FF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13E2F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25D83F3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4A88D9E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35BE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F9CB8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5F30557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58A39A3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8F2A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C5C29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2687584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786D6F8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E114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99D58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276E5F5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2D299CC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352413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※备注说明</w:t>
      </w:r>
    </w:p>
    <w:p w14:paraId="10E9A5B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46C43F8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3D070FC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②.其他资格证明文件：</w:t>
      </w:r>
    </w:p>
    <w:p w14:paraId="77D002B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01E9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2CFF9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0183DA3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2B7B1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500469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6BCED00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根据《福建省财政厅关于印发推行政府采购供应商资格承诺制指导意见的通知》（闽财购〔2024〕6号）的规定，依法在福建省参与政府采购活动的供应商，可提供《政府采购供应商资格承诺函》(以下简称《承诺函》，格式见附件)。说明：供应商可自行选择是否提供承诺函；若按上述规定提供承诺函的，在投标(响应)文件中可不提供“营业执照等证明文件”、“财务状况报告(财务报告、或资信证明）”、“依法缴纳税收证明材料”、“依法缴纳社会保障资金证明材料”、“具备履行合同所必需设备和专业技术能力的声明函（若有）”和“参加采购活动前三年内在经营活动中没有重大违法记录的声明”，供应商应对其承诺内容的真实性、合法性、有效性负责；若未按上述规定提供承诺函的，应按采购文件要求提供相应的证明材料；若采购文件中有与此处描述不一致的，以此处描述为准。</w:t>
            </w:r>
          </w:p>
        </w:tc>
      </w:tr>
      <w:tr w14:paraId="4019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5291DC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14:paraId="48F388B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其他未列明行业。</w:t>
            </w:r>
          </w:p>
        </w:tc>
      </w:tr>
    </w:tbl>
    <w:p w14:paraId="048E85E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（3）投标保证金。</w:t>
      </w:r>
    </w:p>
    <w:p w14:paraId="0CA4EB9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44DF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4CB8A4F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4E68B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F34B6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0025D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330C3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7B100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D4AFC3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6AB99A4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7570F7E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2C4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1AB1A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56A9DC8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575F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D3CB9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7CE76C3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w:t>
            </w:r>
          </w:p>
        </w:tc>
      </w:tr>
    </w:tbl>
    <w:p w14:paraId="5CB62BE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1D7EB0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福建立勤项目管理有限公司 统一对外发布。</w:t>
      </w:r>
    </w:p>
    <w:p w14:paraId="29BB112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福建立勤项目管理有限公司 将依法组织后续采购活动（包括但不限于：重新招标、采用其他方式采购等）。</w:t>
      </w:r>
    </w:p>
    <w:p w14:paraId="7FEBBE1B">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二、评标</w:t>
      </w:r>
    </w:p>
    <w:p w14:paraId="568EB85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4、资格审查结束后，由 福建立勤项目管理有限公司 负责评标委员会的组建及评标工作的组织。</w:t>
      </w:r>
    </w:p>
    <w:p w14:paraId="24DB7A9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5、评标委员会</w:t>
      </w:r>
    </w:p>
    <w:p w14:paraId="4A5097D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由采购人代表和评审专家两部分共5人组成，其中由福建省政府采购评审专家库产生的评审专家4人，由采购人派出的采购人代表1人。</w:t>
      </w:r>
    </w:p>
    <w:p w14:paraId="023DBC1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1B0664A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4876187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064169A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471624E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09B12AA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19B11F5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①评标情况不得私自外泄，有关信息由 福建立勤项目管理有限公司 统一对外发布。</w:t>
      </w:r>
    </w:p>
    <w:p w14:paraId="7FE234D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②对 福建立勤项目管理有限公司 或投标人提供的要求保密的资料，不得摘记翻印和外传。</w:t>
      </w:r>
    </w:p>
    <w:p w14:paraId="6ACF4F6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6A54DE4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332E507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04FCD86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059EDE7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6、评标程序</w:t>
      </w:r>
    </w:p>
    <w:p w14:paraId="0BE9DA1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6.1评标前的准备工作</w:t>
      </w:r>
    </w:p>
    <w:p w14:paraId="035927E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777708D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A11F43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6.2符合性审查</w:t>
      </w:r>
    </w:p>
    <w:p w14:paraId="611F209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2B43DC1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3ADAB23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C3AB87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AA8E95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4C241C7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40296D4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①项目一般情形：</w:t>
      </w:r>
    </w:p>
    <w:p w14:paraId="0735D12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BE7C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A99F0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6AF702F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2D3643F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39C11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E80AA7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4D4EAAC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264A070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6B485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2E012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05CA509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579F366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1A9A4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D18D6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79FA3BA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36DB0E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7E0616F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35C3220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5E008A5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F4A8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E8177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0F63CC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55BF6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D6C87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050DFA3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投标人技术部分的实际得分少于招标文件设定的技术部分总分50%的；在技术评审时，上传的内容中出现报价部分的全部或部分的投标报价信息；不符合招标文件中规定的其他实质性要求的条款。</w:t>
            </w:r>
          </w:p>
        </w:tc>
      </w:tr>
    </w:tbl>
    <w:p w14:paraId="0C8352D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E3C3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E5A99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C070D8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31F3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43FE0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4E28E4D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“三、商务条件”有负偏离的；不符合招标文件中规定的其他实质性要求的条款。</w:t>
            </w:r>
          </w:p>
        </w:tc>
      </w:tr>
    </w:tbl>
    <w:p w14:paraId="2B9403E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14:paraId="2342261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价格符合性：无</w:t>
      </w:r>
    </w:p>
    <w:p w14:paraId="481B785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6.3澄清有关问题</w:t>
      </w:r>
    </w:p>
    <w:p w14:paraId="2BD3D21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41024DF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A3B810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458E749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①开标一览表内容与电子投标文件中相应内容不一致的，以开标一览表为准；</w:t>
      </w:r>
    </w:p>
    <w:p w14:paraId="20B5609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4FF43E0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③单价金额小数点或百分比有明显错位的，以开标一览表的总价为准，并修改单价；</w:t>
      </w:r>
    </w:p>
    <w:p w14:paraId="0DD3913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3CB7F05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7CC78D9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（4）关于细微偏差</w:t>
      </w:r>
    </w:p>
    <w:p w14:paraId="1680D9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3FD7F2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08CB3F3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017D29E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4F75A0C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71E561E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2F624E5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3AD3CD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5C443B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6.4比较与评价</w:t>
      </w:r>
    </w:p>
    <w:p w14:paraId="4383564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3650FBD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2155200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D2B520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a.招标文件规定的方式：</w:t>
      </w:r>
    </w:p>
    <w:p w14:paraId="009FAA7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无</w:t>
      </w:r>
    </w:p>
    <w:p w14:paraId="460D429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4551E72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DD575C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a.招标文件规定的方式：</w:t>
      </w:r>
    </w:p>
    <w:p w14:paraId="71B9ACA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无</w:t>
      </w:r>
    </w:p>
    <w:p w14:paraId="7287B60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310B871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7230624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（3）漏（缺）项</w:t>
      </w:r>
    </w:p>
    <w:p w14:paraId="195BA96E">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76CADA0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3BA688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0CECF82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6.6编写评标报告</w:t>
      </w:r>
    </w:p>
    <w:p w14:paraId="3ED4B56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3DB62BE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40E1C3A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6ACCBB0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63D4402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③评标方法和标准；</w:t>
      </w:r>
    </w:p>
    <w:p w14:paraId="6CD6519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61E2C28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6E631A3A">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2D7C735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F536B8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61D112F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791EA53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7166FBDD">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00A00D1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7393789F">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7232283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0BA5F30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00FA234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※若废标，则本次采购活动结束， 福建立勤项目管理有限公司 将依法组织后续采购活动（包括但不限于：重新招标、采用其他方式采购等）。</w:t>
      </w:r>
    </w:p>
    <w:p w14:paraId="780B23A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7、评标方法和标准</w:t>
      </w:r>
    </w:p>
    <w:p w14:paraId="2FB4291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7.1评标方法：</w:t>
      </w:r>
    </w:p>
    <w:p w14:paraId="7D51287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14:paraId="3CBF6A1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7.2评标标准</w:t>
      </w:r>
    </w:p>
    <w:p w14:paraId="091C5828">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14:paraId="7B460E8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070A715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CDCE9D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2F1CD91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价格项（F1×A1）满分为10.0000分</w:t>
      </w:r>
    </w:p>
    <w:p w14:paraId="4BC207E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248A20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F9B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B074E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661" w:type="dxa"/>
          </w:tcPr>
          <w:p w14:paraId="66FDF2C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831" w:type="dxa"/>
          </w:tcPr>
          <w:p w14:paraId="362CBCE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4153" w:type="dxa"/>
          </w:tcPr>
          <w:p w14:paraId="5F50F97A">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bl>
    <w:p w14:paraId="10AF24B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176"/>
        <w:gridCol w:w="5191"/>
      </w:tblGrid>
      <w:tr w14:paraId="0FAB3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2C376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38" w:type="dxa"/>
          </w:tcPr>
          <w:p w14:paraId="3E904C2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5191" w:type="dxa"/>
          </w:tcPr>
          <w:p w14:paraId="60FF54E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方法</w:t>
            </w:r>
          </w:p>
        </w:tc>
      </w:tr>
      <w:tr w14:paraId="65804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6956A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节能、环境标志产品</w:t>
            </w:r>
          </w:p>
        </w:tc>
        <w:tc>
          <w:tcPr>
            <w:tcW w:w="1038" w:type="dxa"/>
          </w:tcPr>
          <w:p w14:paraId="7D553485">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10.0000%</w:t>
            </w:r>
          </w:p>
        </w:tc>
        <w:tc>
          <w:tcPr>
            <w:tcW w:w="5191" w:type="dxa"/>
          </w:tcPr>
          <w:p w14:paraId="377A285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本采购包为服务类项目，节能、环境标志产品价格扣除条款不适用于本项目。此处仅作为投标人上传电子投标文件《报价部分》使用。</w:t>
            </w:r>
          </w:p>
        </w:tc>
      </w:tr>
    </w:tbl>
    <w:p w14:paraId="464250B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其他：无</w:t>
      </w:r>
    </w:p>
    <w:p w14:paraId="16E20A2B">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技术项（F2×A2）满分为69.0000分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2"/>
        <w:gridCol w:w="1078"/>
        <w:gridCol w:w="5202"/>
      </w:tblGrid>
      <w:tr w14:paraId="03BCB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2CC2752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78" w:type="dxa"/>
          </w:tcPr>
          <w:p w14:paraId="480904D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202" w:type="dxa"/>
          </w:tcPr>
          <w:p w14:paraId="4EE41B2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7B466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7484167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1、技术响应情况</w:t>
            </w:r>
          </w:p>
        </w:tc>
        <w:tc>
          <w:tcPr>
            <w:tcW w:w="1078" w:type="dxa"/>
          </w:tcPr>
          <w:p w14:paraId="494A947A">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15.0000</w:t>
            </w:r>
          </w:p>
        </w:tc>
        <w:tc>
          <w:tcPr>
            <w:tcW w:w="5202" w:type="dxa"/>
          </w:tcPr>
          <w:p w14:paraId="51BABFE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所投产品对《第五章招标内容及要求》二、技术和服务要求中的各项配置要求的响应、承诺情况由评委进行评分：（1）完全满足招标文件要求的得15分；（2）标注“★”的技术参数（共计6项）为不允许负偏离的实质性要求，有出现负偏离的按投标无效处理；（3）未标注“★”的技术参数（共计50项）每项负偏离扣0.3分，正偏离不加分。</w:t>
            </w:r>
          </w:p>
        </w:tc>
      </w:tr>
      <w:tr w14:paraId="76D8F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05C03BD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2、绿化养护管理制度</w:t>
            </w:r>
          </w:p>
        </w:tc>
        <w:tc>
          <w:tcPr>
            <w:tcW w:w="1078" w:type="dxa"/>
          </w:tcPr>
          <w:p w14:paraId="0F318070">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478ACBC8">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绿化养护管理制度，包括但不限于：①管理制度的制定情况；②监督检查机制等方面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5907B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16221D0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3、文明施工工作计划</w:t>
            </w:r>
          </w:p>
        </w:tc>
        <w:tc>
          <w:tcPr>
            <w:tcW w:w="1078" w:type="dxa"/>
          </w:tcPr>
          <w:p w14:paraId="60B16204">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7590058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文明施工工作计划，包括但不限于：①绿地施工和养护产生的树枝堆放整洁；②绿化施工标准、承诺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0B6D7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4279A9A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4、养护工作总体计划</w:t>
            </w:r>
          </w:p>
        </w:tc>
        <w:tc>
          <w:tcPr>
            <w:tcW w:w="1078" w:type="dxa"/>
          </w:tcPr>
          <w:p w14:paraId="5C68BFAF">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0A165C3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年养护计划、季度养护计划、月养护计划，包括但不限于：①养护工作总体计划；②水肥管理及该项目养护工作可能发生的问题及解决方案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69D19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0CD8F31A">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5、养护技术方案</w:t>
            </w:r>
          </w:p>
        </w:tc>
        <w:tc>
          <w:tcPr>
            <w:tcW w:w="1078" w:type="dxa"/>
          </w:tcPr>
          <w:p w14:paraId="3934BDE5">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4ED512A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范围内的植物生长习性、人文地理、气候环境等情况所提供的养护技术方案，包括但不限于：修剪、施肥、病虫害防治等日常养护工作，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7A978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2B18163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6、突发应急方案</w:t>
            </w:r>
          </w:p>
        </w:tc>
        <w:tc>
          <w:tcPr>
            <w:tcW w:w="1078" w:type="dxa"/>
          </w:tcPr>
          <w:p w14:paraId="1D098891">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0730645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自然灾害、突发事件应急保障方案，包括但不限于：①防台风、防暴雨、抗旱、防寒、抗洪应急预案等；②重大疫情防控保障、突发保障任务、突发问题、节假日应急保障的响应时间和保障措施等方面，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55743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41F5DF7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7、病虫害防治专项预案</w:t>
            </w:r>
          </w:p>
        </w:tc>
        <w:tc>
          <w:tcPr>
            <w:tcW w:w="1078" w:type="dxa"/>
          </w:tcPr>
          <w:p w14:paraId="3E1BA9E5">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0243BB9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病虫害防治及有害入侵物种防治专项预案情况，包括但不限于：①病虫害防治各个季节注意事项；②苗木病虫害的控制；③防治方法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1EF53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26D962D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8、禾本科植物养护专项方案</w:t>
            </w:r>
          </w:p>
        </w:tc>
        <w:tc>
          <w:tcPr>
            <w:tcW w:w="1078" w:type="dxa"/>
          </w:tcPr>
          <w:p w14:paraId="13A21B05">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3E35836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禾本科植物养护专项方案情况，包括但不限于：①修剪计划；②水肥管理；③病虫害防治方案；④芦苇荡中白色垃圾清理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27497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74DB97FB">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9、开花植物养护专项方案</w:t>
            </w:r>
          </w:p>
        </w:tc>
        <w:tc>
          <w:tcPr>
            <w:tcW w:w="1078" w:type="dxa"/>
          </w:tcPr>
          <w:p w14:paraId="003DD060">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323CF97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公园主要开花植物（紫薇、美人树、蓝花楹、凤凰木、黄花风铃木、三角梅）及莳花养护专项方案情况，包括但不限于：①修剪；②施肥；③病虫害防治；④花期、花量调控等方面，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185D2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3A40AF9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10、大树修剪专项方案</w:t>
            </w:r>
          </w:p>
        </w:tc>
        <w:tc>
          <w:tcPr>
            <w:tcW w:w="1078" w:type="dxa"/>
          </w:tcPr>
          <w:p w14:paraId="6D9D3ABC">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2670F20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大树修剪专项方案情况，包括但不限于：①修剪安全作业管理；②机械设备投入；③修剪计划等方面，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41236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504BFB7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11、培训和管理方案</w:t>
            </w:r>
          </w:p>
        </w:tc>
        <w:tc>
          <w:tcPr>
            <w:tcW w:w="1078" w:type="dxa"/>
          </w:tcPr>
          <w:p w14:paraId="0269DCE3">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79B8010A">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作业人员安全文明施工、安全文明作业培训和管理方案，包括但不限于：①具体的安全文明施工作业规章制度；②培训方案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07849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37FB403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12、项目过渡交接方案</w:t>
            </w:r>
          </w:p>
        </w:tc>
        <w:tc>
          <w:tcPr>
            <w:tcW w:w="1078" w:type="dxa"/>
          </w:tcPr>
          <w:p w14:paraId="6003EE1B">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7A0CB08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项目过渡交接方案，包括但不限于：①过渡交接计划安排；②组织实施方案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136B8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6C7BAC7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13、保障方案</w:t>
            </w:r>
          </w:p>
        </w:tc>
        <w:tc>
          <w:tcPr>
            <w:tcW w:w="1078" w:type="dxa"/>
          </w:tcPr>
          <w:p w14:paraId="53239ADE">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704EAAF5">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保障方案，包括但不限于：①检查评比保障方案；②重大活动保障方案；③重大会议保障方案；④节假日前保障方案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1006B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1431650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14、特殊要求的绿化养护方案</w:t>
            </w:r>
          </w:p>
        </w:tc>
        <w:tc>
          <w:tcPr>
            <w:tcW w:w="1078" w:type="dxa"/>
          </w:tcPr>
          <w:p w14:paraId="673E869F">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7779EBF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提供的特殊绿化养护要求（茉莉花、福桔）的养护提供合理化建议，包括但不限于：①修剪计划；②病虫害防治；③水肥管理等，由评标委员会进行评分：方案包含的要点齐全无缺漏项、内容与要点相符、每个要点均有展开详细的阐述且能够适用于本项目得3分；方案所包含的要点齐全、内容与要点相符、每个要点均有展开阐述且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r w14:paraId="61102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6B63B50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15、人员配置1（项目负责人）</w:t>
            </w:r>
          </w:p>
        </w:tc>
        <w:tc>
          <w:tcPr>
            <w:tcW w:w="1078" w:type="dxa"/>
          </w:tcPr>
          <w:p w14:paraId="0B0B55EB">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5FB39C9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拟派出的项目负责人具备的技术能力情况，由评标委员会进行评分：(1)具备园林绿化专业高级职称的得2分；具备园林绿化专业中级职称的得1分；(2)具有与本次招标同类项目【包含：城市道路绿化养护或城市公园绿化养护的绿化养护项目】从业经验的每提供1份证明材料得0.5分（最多提供2份得1分）。 注：①须提供投标文件截止时间前六个月内任意一个月（不包含投标截止时间当月）在投标人单位缴纳的社保证明材料（从社保窗口或从社保系统中打印的有盖章的社会保障资金缴纳证明材料）、人力资源和社会保障部门或行政主管部门核发的职称证书复印件，缺少任一项的，则该人员不予计算；②项目负责人的从业证明材料提供：合同文本复印件、身份证复印件及从业经验列表，表中应注明：项目名称、合同时间、采购单位等。③按《关于贯彻执行《园林绿化工程建设管理规定》的通知》（闽建办风景〔2018〕11号）的规定，园林绿化专业是指园林、园林施工、园林规划设计、园林植物、风景园林、园林绿化、园艺、景观、环境艺术、市政园林等专业。④参与本项评分的人员与其他评分项人员不得重复，否则不得分。</w:t>
            </w:r>
          </w:p>
        </w:tc>
      </w:tr>
      <w:tr w14:paraId="51CB4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303F332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16、人员配置2（技术负责人）</w:t>
            </w:r>
          </w:p>
        </w:tc>
        <w:tc>
          <w:tcPr>
            <w:tcW w:w="1078" w:type="dxa"/>
          </w:tcPr>
          <w:p w14:paraId="6EBD5CC4">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0C0A250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各投标人针对本项目所拟派出的技术负责人具备的技术能力情况，由评标委员会进行评分：(1)具备园林绿化专业高级职称的得2分；具备园林绿化专业中级职称的得1分；(2)具有与本次招标同类项目【包含：城市道路绿化养护或城市公园绿化养护的绿化养护项目】从业经验的每提供1份得0.5分（最多提供2份得1分）。 注：①须提供投标文件截止时间前六个月内任意一个月（不包含投标截止时间当月）在投标人单位缴纳的社保证明材料（从社保窗口或从社保系统中打印的有盖章的社会保障资金缴纳证明材料）、人力资源和社会保障部门或行政主管部门核发的职称证书复印件，缺少任一项的，则该人员不予计算；②项目负责人的从业证明材料提供：合同文本复印件、身份证复印件及从业经验列表，表中应注明：项目名称、合同时间、采购单位等。③按《关于贯彻执行《园林绿化工程建设管理规定》的通知》（闽建办风景〔2018〕11号）的规定，园林绿化专业是指园林、园林施工、园林规划设计、园林植物、风景园林、园林绿化、园艺、景观、环境艺术、市政园林等专业。④参与本项评分的人员与其他评分项人员不得重复，否则不得分。</w:t>
            </w:r>
          </w:p>
        </w:tc>
      </w:tr>
      <w:tr w14:paraId="20884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065DDD9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17、人员配置3（高级技术工人）</w:t>
            </w:r>
          </w:p>
        </w:tc>
        <w:tc>
          <w:tcPr>
            <w:tcW w:w="1078" w:type="dxa"/>
          </w:tcPr>
          <w:p w14:paraId="3B29AE45">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288A2BF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评标委员会根据投标人拟投入本项目的高级及以上园林绿化专业技术工人（包括绿化工或花卉工或花卉园艺师）数量进行评分：提供3名的得1分，每增加1名得1分，满分3分。 注：①须提供投标截止时间前六个月中任意一个月（不包含投标截止时间当月）依法在投标人单位缴纳的社保证明材料（从社保窗口或从社保系统中打印的有盖章的社会保障资金缴纳证明材料）及证书（由行政主管部门或行政主管部门备案的职业技能等级评价机构颁发）复印件。缺少任一项的，则该人员不予计算。②参与本项评分的人员与其他评分项人员不得重复，否则不得分。</w:t>
            </w:r>
          </w:p>
        </w:tc>
      </w:tr>
      <w:tr w14:paraId="196CD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3D6C3E3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18、人员配置4（中级技术工人）</w:t>
            </w:r>
          </w:p>
        </w:tc>
        <w:tc>
          <w:tcPr>
            <w:tcW w:w="1078" w:type="dxa"/>
          </w:tcPr>
          <w:p w14:paraId="7A2DE56F">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0514273B">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根据投标人拟投入本项目的中级园林绿化专业技术工人（包括绿化工或花卉工或花卉园艺师）数量进行评审：2人≤具有中级园林绿化工或花卉工或花卉园艺师＜5人的得1分，5人≤具有中级园林绿化工或花卉工或花卉园艺师＜7人的得2分，具有中级园林绿化工或花卉工或花卉园艺师≥7人的得3分。 注：①须提供投标截止时间前六个月中任意一个月（不包含投标文件截止时间当月）依法在投标人单位缴纳的社保证明材料（从社保窗口或从社保系统中打印的有盖章的社会保障资金缴纳证明材料）及证书（由行政主管部门或行政主管部门备案的职业技能等级评价机构颁发）复印件。缺少任一项的，则该人员不予计算。②参与本项评分的人员与其他评分项人员不得重复，否则不得分。</w:t>
            </w:r>
          </w:p>
        </w:tc>
      </w:tr>
      <w:tr w14:paraId="67381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072D05B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19、人员配置5（植保专职人员）</w:t>
            </w:r>
          </w:p>
        </w:tc>
        <w:tc>
          <w:tcPr>
            <w:tcW w:w="1078" w:type="dxa"/>
          </w:tcPr>
          <w:p w14:paraId="7AC2458A">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202" w:type="dxa"/>
          </w:tcPr>
          <w:p w14:paraId="5108804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根据投标人拟投入本项目的工作人员中植保专业技术人员情况进行评议：有植保类学历证书或植保工证书或有害生物防治（制）员的，每提供一名得1.5分，满分3分。 注：①须提供投标截止时间前六个月中任意一个月（不包含投标截止时间当月）依法在投标人单位缴纳的社保证明材料（从社保窗口或从社保系统中打印的有盖章的社会保障资金缴纳证明材料）及提供学历证书或证书（由行政主管部门或行政主管部门备案的职业技能等级评价机构颁发）复印件，缺少其中之一的，则该人员的得分不得分。②参与本项评分的人员与其他评分项人员不得重复，否则不得分。</w:t>
            </w:r>
          </w:p>
        </w:tc>
      </w:tr>
    </w:tbl>
    <w:p w14:paraId="68B13A3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商务项（F3×A3）满分为21.0000分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2"/>
        <w:gridCol w:w="1091"/>
        <w:gridCol w:w="5078"/>
      </w:tblGrid>
      <w:tr w14:paraId="49C28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702FA3C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91" w:type="dxa"/>
          </w:tcPr>
          <w:p w14:paraId="3C9120B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078" w:type="dxa"/>
          </w:tcPr>
          <w:p w14:paraId="358190F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5C593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205C814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1、保险情况</w:t>
            </w:r>
          </w:p>
        </w:tc>
        <w:tc>
          <w:tcPr>
            <w:tcW w:w="1091" w:type="dxa"/>
          </w:tcPr>
          <w:p w14:paraId="15F8BCF2">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4A757A8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承诺中标后为拟投入本项目的员工购买有效期限内的人身意外保险情况（包括个人意外险或雇主责任险）进行评分，60万元≤作业人员死亡伤残赔付限额＜80万元的得1分，80万元≤作业人员死亡伤残赔付限额＜100万元的得2分，100万元≤作业人员死亡伤残赔付限额的得3分，须提供承诺函，否则本项不得分。</w:t>
            </w:r>
          </w:p>
        </w:tc>
      </w:tr>
      <w:tr w14:paraId="16D0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47D888F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2、业绩1</w:t>
            </w:r>
          </w:p>
        </w:tc>
        <w:tc>
          <w:tcPr>
            <w:tcW w:w="1091" w:type="dxa"/>
          </w:tcPr>
          <w:p w14:paraId="36CE401F">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3788885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提供自2021年1月1日至本次投标截止时间（以合同签订时间为准），由投标人自身所完成（含正在履约）的与本次招标同类项目【包含：城市道路绿化养护或城市公园绿化养护的绿化养护项目】业绩情况进行评分，每提供1份业绩的得1分，满分3分。 注：投标人应提供业绩列表、中标（成交）公告（中标（成交）公告的下载网页并注明网址）、中标（成交）通知书复印件、合同文本复印件、以及能够证明该业绩项目已经获得采购人年度考核合格或验收合格的证明材料，缺少其中之一的，该项业绩不得分。（参与本项评分的业绩不得与其他业绩评分项重复，否则不得分）</w:t>
            </w:r>
          </w:p>
        </w:tc>
      </w:tr>
      <w:tr w14:paraId="18701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2A1A208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3、业绩2</w:t>
            </w:r>
          </w:p>
        </w:tc>
        <w:tc>
          <w:tcPr>
            <w:tcW w:w="1091" w:type="dxa"/>
          </w:tcPr>
          <w:p w14:paraId="75562DBC">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6755D8E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提供自2021年1月1日至本次投标截止时间（以合同签订时间为准），由投标人自身完成（含正在履约）的花卉类种植或养护项目业绩进行评分，每提供1份业绩的得1分，满分3分。注：投标人应提供业绩列表、中标（成交）公告（中标（成交）公告的下载网页并注明网址）、中标（成交）通知书复印件、合同文本复印件、以及能够证明该业绩项目已经获得采购人年度考核合格或验收合格的证明材料，缺少其中之一的，该项业绩不得分。（参与本项评分的业绩不得与其他业绩评分项重复，否则不得分）</w:t>
            </w:r>
          </w:p>
        </w:tc>
      </w:tr>
      <w:tr w14:paraId="247BF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7B08E5D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4、响应情况</w:t>
            </w:r>
          </w:p>
        </w:tc>
        <w:tc>
          <w:tcPr>
            <w:tcW w:w="1091" w:type="dxa"/>
          </w:tcPr>
          <w:p w14:paraId="54B35F64">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175D8609">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①根据投标人的响应情况【包括公司机构情况说明、技术人员（应提供联系方式、服务、具体负责事项）及开展业务情况说明】，由评标委员会进行评分：方案包含的要点齐全无缺漏项、内容与要点相符、每个要点均有展开详细的阐述且能够适用于本项目得2分；方案所包含的要点齐全、内容与要点相符、每个要点均有展开阐述且基本能够适用于本项目的得1.9分；方案所包含的要点有缺漏、内容与要点相符但仅有纲要、内容简略，未展开详细阐述但基本能够适用于本项目的得1.8分；未提供或内容存在明显错误、内容明显不适用于本项目需求的均不得分。②在此基础上，投标人承诺日常养护如若有临时应急处置任务，在接到采购人通知后可在2小时内到场处理的得1分，提供承诺函（格式自拟）。</w:t>
            </w:r>
          </w:p>
        </w:tc>
      </w:tr>
      <w:tr w14:paraId="30B49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0906877C">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5、车辆1</w:t>
            </w:r>
          </w:p>
        </w:tc>
        <w:tc>
          <w:tcPr>
            <w:tcW w:w="1091" w:type="dxa"/>
          </w:tcPr>
          <w:p w14:paraId="25283037">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5127C37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根据投标人针对本项目所配备的2.5T（核定载质量2.5吨）及以上厢式货车情况进行评分：在满足招标文件的基本要求（1辆）的基础上，每增加1辆得1分，满分3分。 注：自有（不含子公司）车辆须提供购买车辆的正式发票、车辆照片（照片需体现车牌号）、车辆行驶证及车辆登记证且以上证件所注明的所有人为投标人；租赁车辆的须提供租赁合同（租赁期限应能覆盖本项目的服务期限）、车辆照片（照片需体现车牌号）、车辆行驶证及车辆登记证。</w:t>
            </w:r>
          </w:p>
        </w:tc>
      </w:tr>
      <w:tr w14:paraId="0610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3507671D">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6、车辆2</w:t>
            </w:r>
          </w:p>
        </w:tc>
        <w:tc>
          <w:tcPr>
            <w:tcW w:w="1091" w:type="dxa"/>
          </w:tcPr>
          <w:p w14:paraId="5F28F8F2">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5F7A2E0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所配备的车辆进行评分：（1）在满足招标文件基本要求（1辆）的基础上，增加1台高空修剪车得1分，满分1分。（2）在满足招标文件基本要求（1辆）的基础上，每增加1台洒水车或吊车得1分，满分2分。 注：自有（不含子公司）车辆须提供购买车辆的正式发票、车辆照片（照片需体现车牌号）、车辆行驶证及车辆登记证且以上证件所注明的所有人为投标人；租赁车辆的须提供租赁合同（租赁期限应能覆盖本项目的服务期限）、车辆照片（照片需体现车牌号）、车辆行驶证及车辆登记证。</w:t>
            </w:r>
          </w:p>
        </w:tc>
      </w:tr>
      <w:tr w14:paraId="7E0B7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2" w:type="dxa"/>
          </w:tcPr>
          <w:p w14:paraId="5D3202C1">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7、手推式高压喷药车</w:t>
            </w:r>
          </w:p>
        </w:tc>
        <w:tc>
          <w:tcPr>
            <w:tcW w:w="1091" w:type="dxa"/>
          </w:tcPr>
          <w:p w14:paraId="7CA71298">
            <w:pPr>
              <w:pStyle w:val="6"/>
              <w:keepNext w:val="0"/>
              <w:keepLines w:val="0"/>
              <w:pageBreakBefore w:val="0"/>
              <w:kinsoku/>
              <w:wordWrap/>
              <w:overflowPunct/>
              <w:topLinePunct w:val="0"/>
              <w:autoSpaceDE/>
              <w:autoSpaceDN/>
              <w:bidi w:val="0"/>
              <w:adjustRightInd w:val="0"/>
              <w:snapToGrid w:val="0"/>
              <w:spacing w:line="240" w:lineRule="auto"/>
              <w:ind w:left="0"/>
              <w:jc w:val="right"/>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5078" w:type="dxa"/>
          </w:tcPr>
          <w:p w14:paraId="48A0A8E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根据投标人针对本项目所配备的手推式高压喷药车在满足招标文件基本要求（1台）的基础上，每增加1台得1分，满分3分。 注：自有（不含子公司）设备须提供购买设备的正式发票、车辆照片；租赁设备的须提供租赁合同（租赁期限应能覆盖本项目的服务期限）、车辆照片。</w:t>
            </w:r>
          </w:p>
        </w:tc>
      </w:tr>
    </w:tbl>
    <w:p w14:paraId="64B6C380">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4DD713E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37053A77">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42FBBF8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02691B2E">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284AD10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8、其他规定</w:t>
      </w:r>
    </w:p>
    <w:p w14:paraId="0FD1DC37">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1F8A0FA1">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19256526">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B65D4B5">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8.4其他：</w:t>
      </w:r>
    </w:p>
    <w:p w14:paraId="377B713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无</w:t>
      </w:r>
    </w:p>
    <w:p w14:paraId="6021357C">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B41CCE0">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32"/>
          <w:szCs w:val="32"/>
        </w:rPr>
      </w:pPr>
      <w:r>
        <w:rPr>
          <w:rFonts w:hint="eastAsia" w:ascii="宋体" w:hAnsi="宋体" w:eastAsia="宋体" w:cs="宋体"/>
          <w:b/>
          <w:sz w:val="32"/>
          <w:szCs w:val="32"/>
        </w:rPr>
        <w:t>第五章 招标内容及要求</w:t>
      </w:r>
    </w:p>
    <w:p w14:paraId="6417622F">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14:paraId="29484604">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1.项目名称：福州市乌龙江公园管理处2025-2026年乌龙江公园淮安大桥至湾边大桥段（不含沙滩公园）绿化养护服务项目；</w:t>
      </w:r>
    </w:p>
    <w:p w14:paraId="2B0469F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2.养护地点：福州市乌龙江公园淮安大桥至湾边大桥段（不含沙滩公园）；</w:t>
      </w:r>
    </w:p>
    <w:p w14:paraId="5C62C9F3">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3.养护面积：</w:t>
      </w:r>
      <w:r>
        <w:rPr>
          <w:rFonts w:hint="eastAsia" w:ascii="宋体" w:hAnsi="宋体" w:eastAsia="宋体" w:cs="宋体"/>
          <w:sz w:val="24"/>
          <w:szCs w:val="24"/>
          <w:shd w:val="clear" w:fill="FFFFFF"/>
        </w:rPr>
        <w:t>绿地总面积550411.9平方米，其中含原生绿地（芦苇荡）167869平方米、乌龙江湿地公园主入口广场、办公楼、停车场周边绿地；公园主要开花植物有</w:t>
      </w:r>
      <w:r>
        <w:rPr>
          <w:rFonts w:hint="eastAsia" w:ascii="宋体" w:hAnsi="宋体" w:eastAsia="宋体" w:cs="宋体"/>
          <w:sz w:val="24"/>
          <w:szCs w:val="24"/>
        </w:rPr>
        <w:t>紫薇、美人树、蓝花楹、凤凰木、黄花风铃木、三角梅及莳花等；需要特殊绿化养护的植物有茉莉花、福桔。</w:t>
      </w:r>
    </w:p>
    <w:p w14:paraId="1ABB43AC">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4.服务期限：24个月（起止时间为2025年1月1日至2026年12月31日）。如中标人</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考核得分低于60分或合同(或协议)期内累计3次</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考核得分低于80分的，采购人有权终止合同(或协议)并没收履约保证金的50%～100%，中标人须无条件按采购人要求办理移交、退场手续。</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900"/>
        <w:gridCol w:w="1095"/>
        <w:gridCol w:w="2070"/>
        <w:gridCol w:w="1575"/>
        <w:gridCol w:w="1305"/>
      </w:tblGrid>
      <w:tr w14:paraId="6F493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A11B3BA">
            <w:pPr>
              <w:pStyle w:val="6"/>
              <w:spacing w:before="105" w:after="105"/>
              <w:jc w:val="center"/>
              <w:rPr>
                <w:rFonts w:hint="default"/>
                <w:color w:val="auto"/>
                <w:highlight w:val="none"/>
              </w:rPr>
            </w:pPr>
            <w:r>
              <w:rPr>
                <w:rFonts w:ascii="宋体" w:hAnsi="宋体" w:eastAsia="宋体" w:cs="宋体"/>
                <w:b/>
                <w:color w:val="auto"/>
                <w:sz w:val="24"/>
                <w:highlight w:val="none"/>
              </w:rPr>
              <w:t>项目名称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544FF19">
            <w:pPr>
              <w:pStyle w:val="6"/>
              <w:spacing w:before="105" w:after="105"/>
              <w:jc w:val="center"/>
              <w:rPr>
                <w:rFonts w:hint="default"/>
                <w:color w:val="auto"/>
                <w:highlight w:val="none"/>
              </w:rPr>
            </w:pPr>
            <w:r>
              <w:rPr>
                <w:rFonts w:ascii="宋体" w:hAnsi="宋体" w:eastAsia="宋体" w:cs="宋体"/>
                <w:b/>
                <w:color w:val="auto"/>
                <w:sz w:val="24"/>
                <w:highlight w:val="none"/>
              </w:rPr>
              <w:t>标段</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607E27A">
            <w:pPr>
              <w:pStyle w:val="6"/>
              <w:spacing w:before="105" w:after="105"/>
              <w:jc w:val="center"/>
              <w:rPr>
                <w:rFonts w:hint="default"/>
                <w:color w:val="auto"/>
                <w:highlight w:val="none"/>
              </w:rPr>
            </w:pPr>
            <w:r>
              <w:rPr>
                <w:rFonts w:ascii="宋体" w:hAnsi="宋体" w:eastAsia="宋体" w:cs="宋体"/>
                <w:b/>
                <w:color w:val="auto"/>
                <w:sz w:val="24"/>
                <w:highlight w:val="none"/>
              </w:rPr>
              <w:t>绿地总面积（</w:t>
            </w:r>
            <w:r>
              <w:rPr>
                <w:rFonts w:ascii="&quot;times new roman&quot;" w:hAnsi="&quot;times new roman&quot;" w:eastAsia="&quot;times new roman&quot;" w:cs="&quot;times new roman&quot;"/>
                <w:b/>
                <w:color w:val="auto"/>
                <w:sz w:val="19"/>
                <w:highlight w:val="none"/>
              </w:rPr>
              <w:t xml:space="preserve"> </w:t>
            </w:r>
            <w:r>
              <w:rPr>
                <w:rFonts w:ascii="宋体" w:hAnsi="宋体" w:eastAsia="宋体" w:cs="宋体"/>
                <w:b/>
                <w:color w:val="auto"/>
                <w:sz w:val="24"/>
                <w:highlight w:val="none"/>
              </w:rPr>
              <w:t>㎡）</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524472F">
            <w:pPr>
              <w:pStyle w:val="6"/>
              <w:spacing w:before="105" w:after="105"/>
              <w:jc w:val="center"/>
              <w:rPr>
                <w:rFonts w:hint="default"/>
                <w:color w:val="auto"/>
                <w:highlight w:val="none"/>
              </w:rPr>
            </w:pPr>
            <w:r>
              <w:rPr>
                <w:rFonts w:ascii="宋体" w:hAnsi="宋体" w:eastAsia="宋体" w:cs="宋体"/>
                <w:b/>
                <w:color w:val="auto"/>
                <w:sz w:val="24"/>
                <w:highlight w:val="none"/>
              </w:rPr>
              <w:t>其中包含</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21B22CB">
            <w:pPr>
              <w:pStyle w:val="6"/>
              <w:spacing w:before="105" w:after="105"/>
              <w:jc w:val="center"/>
              <w:rPr>
                <w:rFonts w:hint="default"/>
                <w:color w:val="auto"/>
                <w:highlight w:val="none"/>
              </w:rPr>
            </w:pPr>
            <w:r>
              <w:rPr>
                <w:rFonts w:ascii="宋体" w:hAnsi="宋体" w:eastAsia="宋体" w:cs="宋体"/>
                <w:b/>
                <w:color w:val="auto"/>
                <w:sz w:val="24"/>
                <w:highlight w:val="none"/>
              </w:rPr>
              <w:t>备注</w:t>
            </w:r>
          </w:p>
        </w:tc>
      </w:tr>
      <w:tr w14:paraId="3B01F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75CC0E6">
            <w:pPr>
              <w:jc w:val="center"/>
              <w:rPr>
                <w:color w:val="auto"/>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47B2392">
            <w:pPr>
              <w:jc w:val="center"/>
              <w:rPr>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4CC4164E">
            <w:pPr>
              <w:jc w:val="center"/>
              <w:rPr>
                <w:color w:val="auto"/>
                <w:highlight w:val="none"/>
              </w:rPr>
            </w:pPr>
          </w:p>
        </w:tc>
        <w:tc>
          <w:tcPr>
            <w:tcW w:w="207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BBFBFB3">
            <w:pPr>
              <w:pStyle w:val="6"/>
              <w:spacing w:before="105" w:after="105"/>
              <w:jc w:val="center"/>
              <w:rPr>
                <w:rFonts w:hint="default"/>
                <w:color w:val="auto"/>
                <w:highlight w:val="none"/>
              </w:rPr>
            </w:pPr>
            <w:r>
              <w:rPr>
                <w:rFonts w:ascii="宋体" w:hAnsi="宋体" w:eastAsia="宋体" w:cs="宋体"/>
                <w:b/>
                <w:color w:val="auto"/>
                <w:sz w:val="24"/>
                <w:highlight w:val="none"/>
              </w:rPr>
              <w:t>原生绿地（芦苇荡）面积（㎡）</w:t>
            </w:r>
          </w:p>
        </w:tc>
        <w:tc>
          <w:tcPr>
            <w:tcW w:w="157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DBD1E28">
            <w:pPr>
              <w:pStyle w:val="6"/>
              <w:spacing w:before="105" w:after="105"/>
              <w:jc w:val="center"/>
              <w:rPr>
                <w:rFonts w:hint="default"/>
                <w:color w:val="auto"/>
                <w:highlight w:val="none"/>
              </w:rPr>
            </w:pPr>
            <w:r>
              <w:rPr>
                <w:rFonts w:ascii="宋体" w:hAnsi="宋体" w:eastAsia="宋体" w:cs="宋体"/>
                <w:b/>
                <w:color w:val="auto"/>
                <w:sz w:val="24"/>
                <w:highlight w:val="none"/>
              </w:rPr>
              <w:t>建设绿地面积（㎡）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BCCF121">
            <w:pPr>
              <w:pStyle w:val="6"/>
              <w:spacing w:before="105" w:after="105"/>
              <w:ind w:firstLine="480"/>
              <w:jc w:val="center"/>
              <w:rPr>
                <w:rFonts w:hint="default"/>
                <w:color w:val="auto"/>
                <w:highlight w:val="none"/>
              </w:rPr>
            </w:pPr>
          </w:p>
        </w:tc>
      </w:tr>
      <w:tr w14:paraId="34E3F8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932E335">
            <w:pPr>
              <w:pStyle w:val="6"/>
              <w:jc w:val="center"/>
              <w:rPr>
                <w:rFonts w:hint="default"/>
                <w:color w:val="auto"/>
                <w:highlight w:val="none"/>
              </w:rPr>
            </w:pPr>
            <w:r>
              <w:rPr>
                <w:rFonts w:ascii="宋体" w:hAnsi="宋体" w:eastAsia="宋体" w:cs="宋体"/>
                <w:b/>
                <w:color w:val="auto"/>
                <w:sz w:val="24"/>
                <w:highlight w:val="none"/>
              </w:rPr>
              <w:t>环南台岛滨江休闲路淮安大桥至三环段</w:t>
            </w:r>
          </w:p>
        </w:tc>
        <w:tc>
          <w:tcPr>
            <w:tcW w:w="90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29A72DC">
            <w:pPr>
              <w:pStyle w:val="6"/>
              <w:spacing w:before="105" w:after="105"/>
              <w:jc w:val="center"/>
              <w:rPr>
                <w:rFonts w:hint="default"/>
                <w:color w:val="auto"/>
                <w:highlight w:val="none"/>
              </w:rPr>
            </w:pPr>
            <w:r>
              <w:rPr>
                <w:rFonts w:ascii="宋体" w:hAnsi="宋体" w:eastAsia="宋体" w:cs="宋体"/>
                <w:b/>
                <w:color w:val="auto"/>
                <w:sz w:val="24"/>
                <w:highlight w:val="none"/>
              </w:rPr>
              <w:t>——</w:t>
            </w:r>
          </w:p>
        </w:tc>
        <w:tc>
          <w:tcPr>
            <w:tcW w:w="109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1D6E5A8">
            <w:pPr>
              <w:pStyle w:val="6"/>
              <w:spacing w:before="105" w:after="105"/>
              <w:jc w:val="center"/>
              <w:rPr>
                <w:rFonts w:hint="default"/>
                <w:color w:val="auto"/>
                <w:highlight w:val="none"/>
              </w:rPr>
            </w:pPr>
            <w:r>
              <w:rPr>
                <w:rFonts w:ascii="宋体" w:hAnsi="宋体" w:eastAsia="宋体" w:cs="宋体"/>
                <w:b/>
                <w:color w:val="auto"/>
                <w:sz w:val="24"/>
                <w:highlight w:val="none"/>
              </w:rPr>
              <w:t>23008.9</w:t>
            </w:r>
          </w:p>
        </w:tc>
        <w:tc>
          <w:tcPr>
            <w:tcW w:w="207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66F880F">
            <w:pPr>
              <w:pStyle w:val="6"/>
              <w:spacing w:before="105" w:after="105"/>
              <w:jc w:val="center"/>
              <w:rPr>
                <w:rFonts w:hint="default"/>
                <w:color w:val="auto"/>
                <w:highlight w:val="none"/>
              </w:rPr>
            </w:pPr>
            <w:r>
              <w:rPr>
                <w:rFonts w:ascii="宋体" w:hAnsi="宋体" w:eastAsia="宋体" w:cs="宋体"/>
                <w:b/>
                <w:color w:val="auto"/>
                <w:sz w:val="24"/>
                <w:highlight w:val="none"/>
              </w:rPr>
              <w:t>——</w:t>
            </w:r>
          </w:p>
        </w:tc>
        <w:tc>
          <w:tcPr>
            <w:tcW w:w="157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25310E0">
            <w:pPr>
              <w:pStyle w:val="6"/>
              <w:spacing w:before="105" w:after="105"/>
              <w:jc w:val="center"/>
              <w:rPr>
                <w:rFonts w:hint="default"/>
                <w:color w:val="auto"/>
                <w:highlight w:val="none"/>
              </w:rPr>
            </w:pPr>
            <w:r>
              <w:rPr>
                <w:rFonts w:ascii="宋体" w:hAnsi="宋体" w:eastAsia="宋体" w:cs="宋体"/>
                <w:b/>
                <w:color w:val="auto"/>
                <w:sz w:val="24"/>
                <w:highlight w:val="none"/>
              </w:rPr>
              <w:t>23008.9</w:t>
            </w:r>
          </w:p>
        </w:tc>
        <w:tc>
          <w:tcPr>
            <w:tcW w:w="130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FA50F5F">
            <w:pPr>
              <w:pStyle w:val="6"/>
              <w:spacing w:before="105" w:after="105"/>
              <w:jc w:val="center"/>
              <w:rPr>
                <w:rFonts w:hint="default"/>
                <w:color w:val="auto"/>
                <w:highlight w:val="none"/>
              </w:rPr>
            </w:pPr>
            <w:r>
              <w:rPr>
                <w:rFonts w:ascii="宋体" w:hAnsi="宋体" w:eastAsia="宋体" w:cs="宋体"/>
                <w:b/>
                <w:color w:val="auto"/>
                <w:sz w:val="24"/>
                <w:highlight w:val="none"/>
              </w:rPr>
              <w:t>具体养护费用按实际养护面积及养护时间核定。</w:t>
            </w:r>
          </w:p>
        </w:tc>
      </w:tr>
      <w:tr w14:paraId="2BF17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6D01B8B">
            <w:pPr>
              <w:pStyle w:val="6"/>
              <w:spacing w:before="105" w:after="105"/>
              <w:jc w:val="center"/>
              <w:rPr>
                <w:rFonts w:hint="default"/>
                <w:color w:val="auto"/>
                <w:highlight w:val="none"/>
              </w:rPr>
            </w:pPr>
            <w:r>
              <w:rPr>
                <w:rFonts w:ascii="宋体" w:hAnsi="宋体" w:eastAsia="宋体" w:cs="宋体"/>
                <w:b/>
                <w:color w:val="auto"/>
                <w:sz w:val="24"/>
                <w:highlight w:val="none"/>
              </w:rPr>
              <w:t>环南台岛滨江绿化工程（淮安至橘园洲大桥段）</w:t>
            </w:r>
          </w:p>
        </w:tc>
        <w:tc>
          <w:tcPr>
            <w:tcW w:w="90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F1771F3">
            <w:pPr>
              <w:pStyle w:val="6"/>
              <w:spacing w:before="105" w:after="105"/>
              <w:jc w:val="center"/>
              <w:rPr>
                <w:rFonts w:hint="default"/>
                <w:color w:val="auto"/>
                <w:highlight w:val="none"/>
              </w:rPr>
            </w:pPr>
            <w:r>
              <w:rPr>
                <w:rFonts w:ascii="宋体" w:hAnsi="宋体" w:eastAsia="宋体" w:cs="宋体"/>
                <w:b/>
                <w:color w:val="auto"/>
                <w:sz w:val="24"/>
                <w:highlight w:val="none"/>
              </w:rPr>
              <w:t>7标段</w:t>
            </w:r>
          </w:p>
        </w:tc>
        <w:tc>
          <w:tcPr>
            <w:tcW w:w="109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7E68FEA">
            <w:pPr>
              <w:pStyle w:val="6"/>
              <w:spacing w:before="105" w:after="105"/>
              <w:jc w:val="center"/>
              <w:rPr>
                <w:rFonts w:hint="default"/>
                <w:color w:val="auto"/>
                <w:highlight w:val="none"/>
              </w:rPr>
            </w:pPr>
            <w:r>
              <w:rPr>
                <w:rFonts w:ascii="宋体" w:hAnsi="宋体" w:eastAsia="宋体" w:cs="宋体"/>
                <w:b/>
                <w:color w:val="auto"/>
                <w:sz w:val="24"/>
                <w:highlight w:val="none"/>
              </w:rPr>
              <w:t>144455</w:t>
            </w:r>
          </w:p>
        </w:tc>
        <w:tc>
          <w:tcPr>
            <w:tcW w:w="207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7ED9D69A">
            <w:pPr>
              <w:pStyle w:val="6"/>
              <w:spacing w:before="105" w:after="105"/>
              <w:jc w:val="center"/>
              <w:rPr>
                <w:rFonts w:hint="default"/>
                <w:color w:val="auto"/>
                <w:highlight w:val="none"/>
              </w:rPr>
            </w:pPr>
            <w:r>
              <w:rPr>
                <w:rFonts w:ascii="宋体" w:hAnsi="宋体" w:eastAsia="宋体" w:cs="宋体"/>
                <w:b/>
                <w:color w:val="auto"/>
                <w:sz w:val="24"/>
                <w:highlight w:val="none"/>
              </w:rPr>
              <w:t>——</w:t>
            </w:r>
          </w:p>
        </w:tc>
        <w:tc>
          <w:tcPr>
            <w:tcW w:w="157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189F27F">
            <w:pPr>
              <w:pStyle w:val="6"/>
              <w:spacing w:before="105" w:after="105"/>
              <w:jc w:val="center"/>
              <w:rPr>
                <w:rFonts w:hint="default"/>
                <w:color w:val="auto"/>
                <w:highlight w:val="none"/>
              </w:rPr>
            </w:pPr>
            <w:r>
              <w:rPr>
                <w:rFonts w:ascii="宋体" w:hAnsi="宋体" w:eastAsia="宋体" w:cs="宋体"/>
                <w:b/>
                <w:color w:val="auto"/>
                <w:sz w:val="24"/>
                <w:highlight w:val="none"/>
              </w:rPr>
              <w:t>144455</w:t>
            </w:r>
          </w:p>
        </w:tc>
        <w:tc>
          <w:tcPr>
            <w:tcW w:w="1305" w:type="dxa"/>
            <w:vMerge w:val="continue"/>
            <w:tcBorders>
              <w:top w:val="nil"/>
              <w:left w:val="single" w:color="000000" w:sz="4" w:space="0"/>
              <w:bottom w:val="single" w:color="000000" w:sz="4" w:space="0"/>
              <w:right w:val="single" w:color="000000" w:sz="4" w:space="0"/>
            </w:tcBorders>
          </w:tcPr>
          <w:p w14:paraId="7C8E64CC">
            <w:pPr>
              <w:rPr>
                <w:color w:val="auto"/>
                <w:highlight w:val="none"/>
              </w:rPr>
            </w:pPr>
          </w:p>
        </w:tc>
      </w:tr>
      <w:tr w14:paraId="0E1870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438D487C">
            <w:pPr>
              <w:pStyle w:val="6"/>
              <w:spacing w:before="105" w:after="105"/>
              <w:jc w:val="center"/>
              <w:rPr>
                <w:rFonts w:hint="default"/>
                <w:color w:val="auto"/>
                <w:highlight w:val="none"/>
              </w:rPr>
            </w:pPr>
            <w:r>
              <w:rPr>
                <w:rFonts w:ascii="宋体" w:hAnsi="宋体" w:eastAsia="宋体" w:cs="宋体"/>
                <w:b/>
                <w:color w:val="auto"/>
                <w:sz w:val="24"/>
                <w:highlight w:val="none"/>
              </w:rPr>
              <w:t>环南台岛滨江绿化工程（橘园洲至湾边大桥段）</w:t>
            </w:r>
          </w:p>
        </w:tc>
        <w:tc>
          <w:tcPr>
            <w:tcW w:w="90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A2E8361">
            <w:pPr>
              <w:pStyle w:val="6"/>
              <w:spacing w:before="105" w:after="105"/>
              <w:jc w:val="center"/>
              <w:rPr>
                <w:rFonts w:hint="default"/>
                <w:color w:val="auto"/>
                <w:highlight w:val="none"/>
              </w:rPr>
            </w:pPr>
            <w:r>
              <w:rPr>
                <w:rFonts w:ascii="宋体" w:hAnsi="宋体" w:eastAsia="宋体" w:cs="宋体"/>
                <w:b/>
                <w:color w:val="auto"/>
                <w:sz w:val="24"/>
                <w:highlight w:val="none"/>
              </w:rPr>
              <w:t>1标段</w:t>
            </w:r>
          </w:p>
        </w:tc>
        <w:tc>
          <w:tcPr>
            <w:tcW w:w="109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2BF1F22">
            <w:pPr>
              <w:pStyle w:val="6"/>
              <w:spacing w:before="105" w:after="105"/>
              <w:jc w:val="center"/>
              <w:rPr>
                <w:rFonts w:hint="default"/>
                <w:color w:val="auto"/>
                <w:highlight w:val="none"/>
              </w:rPr>
            </w:pPr>
            <w:r>
              <w:rPr>
                <w:rFonts w:ascii="宋体" w:hAnsi="宋体" w:eastAsia="宋体" w:cs="宋体"/>
                <w:b/>
                <w:color w:val="auto"/>
                <w:sz w:val="24"/>
                <w:highlight w:val="none"/>
              </w:rPr>
              <w:t>144774</w:t>
            </w:r>
          </w:p>
        </w:tc>
        <w:tc>
          <w:tcPr>
            <w:tcW w:w="207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766F33C">
            <w:pPr>
              <w:pStyle w:val="6"/>
              <w:spacing w:before="105" w:after="105"/>
              <w:jc w:val="center"/>
              <w:rPr>
                <w:rFonts w:hint="default"/>
                <w:color w:val="auto"/>
                <w:highlight w:val="none"/>
              </w:rPr>
            </w:pPr>
            <w:r>
              <w:rPr>
                <w:rFonts w:ascii="宋体" w:hAnsi="宋体" w:eastAsia="宋体" w:cs="宋体"/>
                <w:b/>
                <w:color w:val="auto"/>
                <w:sz w:val="24"/>
                <w:highlight w:val="none"/>
              </w:rPr>
              <w:t>57589</w:t>
            </w:r>
          </w:p>
        </w:tc>
        <w:tc>
          <w:tcPr>
            <w:tcW w:w="157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6F9F33ED">
            <w:pPr>
              <w:pStyle w:val="6"/>
              <w:spacing w:before="105" w:after="105"/>
              <w:jc w:val="center"/>
              <w:rPr>
                <w:rFonts w:hint="default"/>
                <w:color w:val="auto"/>
                <w:highlight w:val="none"/>
              </w:rPr>
            </w:pPr>
            <w:r>
              <w:rPr>
                <w:rFonts w:ascii="宋体" w:hAnsi="宋体" w:eastAsia="宋体" w:cs="宋体"/>
                <w:b/>
                <w:color w:val="auto"/>
                <w:sz w:val="24"/>
                <w:highlight w:val="none"/>
              </w:rPr>
              <w:t>87185</w:t>
            </w:r>
          </w:p>
        </w:tc>
        <w:tc>
          <w:tcPr>
            <w:tcW w:w="1305" w:type="dxa"/>
            <w:vMerge w:val="continue"/>
            <w:tcBorders>
              <w:top w:val="nil"/>
              <w:left w:val="single" w:color="000000" w:sz="4" w:space="0"/>
              <w:bottom w:val="single" w:color="000000" w:sz="4" w:space="0"/>
              <w:right w:val="single" w:color="000000" w:sz="4" w:space="0"/>
            </w:tcBorders>
          </w:tcPr>
          <w:p w14:paraId="4F470574">
            <w:pPr>
              <w:rPr>
                <w:color w:val="auto"/>
                <w:highlight w:val="none"/>
              </w:rPr>
            </w:pPr>
          </w:p>
        </w:tc>
      </w:tr>
      <w:tr w14:paraId="603796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vMerge w:val="continue"/>
            <w:tcBorders>
              <w:top w:val="nil"/>
              <w:left w:val="single" w:color="000000" w:sz="4" w:space="0"/>
              <w:bottom w:val="single" w:color="000000" w:sz="4" w:space="0"/>
              <w:right w:val="single" w:color="000000" w:sz="4" w:space="0"/>
            </w:tcBorders>
            <w:vAlign w:val="center"/>
          </w:tcPr>
          <w:p w14:paraId="751643DE">
            <w:pPr>
              <w:jc w:val="center"/>
              <w:rPr>
                <w:color w:val="auto"/>
                <w:highlight w:val="none"/>
              </w:rPr>
            </w:pPr>
          </w:p>
        </w:tc>
        <w:tc>
          <w:tcPr>
            <w:tcW w:w="90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0C4D4BB8">
            <w:pPr>
              <w:pStyle w:val="6"/>
              <w:spacing w:before="105" w:after="105"/>
              <w:jc w:val="center"/>
              <w:rPr>
                <w:rFonts w:hint="default"/>
                <w:color w:val="auto"/>
                <w:highlight w:val="none"/>
              </w:rPr>
            </w:pPr>
            <w:r>
              <w:rPr>
                <w:rFonts w:ascii="宋体" w:hAnsi="宋体" w:eastAsia="宋体" w:cs="宋体"/>
                <w:b/>
                <w:color w:val="auto"/>
                <w:sz w:val="24"/>
                <w:highlight w:val="none"/>
              </w:rPr>
              <w:t>2标段</w:t>
            </w:r>
          </w:p>
        </w:tc>
        <w:tc>
          <w:tcPr>
            <w:tcW w:w="109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5F91D365">
            <w:pPr>
              <w:pStyle w:val="6"/>
              <w:spacing w:before="105" w:after="105"/>
              <w:jc w:val="center"/>
              <w:rPr>
                <w:rFonts w:hint="default"/>
                <w:color w:val="auto"/>
                <w:highlight w:val="none"/>
              </w:rPr>
            </w:pPr>
            <w:r>
              <w:rPr>
                <w:rFonts w:ascii="宋体" w:hAnsi="宋体" w:eastAsia="宋体" w:cs="宋体"/>
                <w:b/>
                <w:color w:val="auto"/>
                <w:sz w:val="24"/>
                <w:highlight w:val="none"/>
              </w:rPr>
              <w:t>238174</w:t>
            </w:r>
          </w:p>
        </w:tc>
        <w:tc>
          <w:tcPr>
            <w:tcW w:w="2070"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29B8F03F">
            <w:pPr>
              <w:pStyle w:val="6"/>
              <w:spacing w:before="105" w:after="105"/>
              <w:jc w:val="center"/>
              <w:rPr>
                <w:rFonts w:hint="default"/>
                <w:color w:val="auto"/>
                <w:highlight w:val="none"/>
              </w:rPr>
            </w:pPr>
            <w:r>
              <w:rPr>
                <w:rFonts w:ascii="宋体" w:hAnsi="宋体" w:eastAsia="宋体" w:cs="宋体"/>
                <w:b/>
                <w:color w:val="auto"/>
                <w:sz w:val="24"/>
                <w:highlight w:val="none"/>
              </w:rPr>
              <w:t>110280</w:t>
            </w:r>
          </w:p>
        </w:tc>
        <w:tc>
          <w:tcPr>
            <w:tcW w:w="1575"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14:paraId="1E647C88">
            <w:pPr>
              <w:pStyle w:val="6"/>
              <w:spacing w:before="105" w:after="105"/>
              <w:jc w:val="center"/>
              <w:rPr>
                <w:rFonts w:hint="default"/>
                <w:color w:val="auto"/>
                <w:highlight w:val="none"/>
              </w:rPr>
            </w:pPr>
            <w:r>
              <w:rPr>
                <w:rFonts w:ascii="宋体" w:hAnsi="宋体" w:eastAsia="宋体" w:cs="宋体"/>
                <w:b/>
                <w:color w:val="auto"/>
                <w:sz w:val="24"/>
                <w:highlight w:val="none"/>
              </w:rPr>
              <w:t>127894</w:t>
            </w:r>
          </w:p>
        </w:tc>
        <w:tc>
          <w:tcPr>
            <w:tcW w:w="1305" w:type="dxa"/>
            <w:vMerge w:val="continue"/>
            <w:tcBorders>
              <w:top w:val="nil"/>
              <w:left w:val="single" w:color="000000" w:sz="4" w:space="0"/>
              <w:bottom w:val="single" w:color="000000" w:sz="4" w:space="0"/>
              <w:right w:val="single" w:color="000000" w:sz="4" w:space="0"/>
            </w:tcBorders>
          </w:tcPr>
          <w:p w14:paraId="60D3AE67">
            <w:pPr>
              <w:rPr>
                <w:color w:val="auto"/>
                <w:highlight w:val="none"/>
              </w:rPr>
            </w:pPr>
          </w:p>
        </w:tc>
      </w:tr>
    </w:tbl>
    <w:p w14:paraId="4676D4A4">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CAE5F9B">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b/>
          <w:sz w:val="24"/>
          <w:szCs w:val="24"/>
        </w:rPr>
        <w:t>投标人必须在报价部分，提供下列格式的报价明细表，否则按无效投标处理。投标人所填写的原生绿地（芦苇荡）每年每平方米单价、建设绿地面积每年每平方米单价、总价，报价须包含工作人员的工资、福利、五险一金、节假日加班工资、奖金和各种津贴、补贴以及工作服装费、装备设备费、各项岗位培训费、行政管理费等一切费用成本及利润，还要考虑到合同中可能出现的索赔和变更，采购人不再承担任何费用。</w:t>
      </w:r>
    </w:p>
    <w:p w14:paraId="6C7AFD6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b/>
          <w:sz w:val="24"/>
          <w:szCs w:val="24"/>
          <w:shd w:val="clear" w:fill="FFFFFF"/>
        </w:rPr>
        <w:t>报价明细表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79"/>
        <w:gridCol w:w="1791"/>
        <w:gridCol w:w="1685"/>
        <w:gridCol w:w="1851"/>
      </w:tblGrid>
      <w:tr w14:paraId="2E995D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2DC41C">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347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7CFF94">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单价（元/㎡.年）</w:t>
            </w:r>
          </w:p>
        </w:tc>
        <w:tc>
          <w:tcPr>
            <w:tcW w:w="18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F91F8E">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总价(元)</w:t>
            </w:r>
          </w:p>
        </w:tc>
      </w:tr>
      <w:tr w14:paraId="57811E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F768C">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福州市乌龙江公园管理处2025-2026年乌龙江公园淮安大桥至湾边大桥段（不含沙滩公园）绿化养护服务项目</w:t>
            </w:r>
          </w:p>
        </w:tc>
        <w:tc>
          <w:tcPr>
            <w:tcW w:w="17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87AA9">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绿地（芦苇荡）</w:t>
            </w:r>
          </w:p>
          <w:p w14:paraId="3DEE523C">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（元/㎡.年）</w:t>
            </w:r>
          </w:p>
        </w:tc>
        <w:tc>
          <w:tcPr>
            <w:tcW w:w="16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97A42">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建设绿地</w:t>
            </w:r>
          </w:p>
          <w:p w14:paraId="0947D59F">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r>
              <w:rPr>
                <w:rFonts w:hint="eastAsia" w:ascii="宋体" w:hAnsi="宋体" w:eastAsia="宋体" w:cs="宋体"/>
                <w:sz w:val="24"/>
                <w:szCs w:val="24"/>
              </w:rPr>
              <w:t>（元/㎡.年）</w:t>
            </w:r>
          </w:p>
        </w:tc>
        <w:tc>
          <w:tcPr>
            <w:tcW w:w="18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BB7AC6">
            <w:pPr>
              <w:pStyle w:val="6"/>
              <w:keepNext w:val="0"/>
              <w:keepLines w:val="0"/>
              <w:pageBreakBefore w:val="0"/>
              <w:kinsoku/>
              <w:wordWrap/>
              <w:overflowPunct/>
              <w:topLinePunct w:val="0"/>
              <w:autoSpaceDE/>
              <w:autoSpaceDN/>
              <w:bidi w:val="0"/>
              <w:adjustRightInd w:val="0"/>
              <w:snapToGrid w:val="0"/>
              <w:spacing w:line="240" w:lineRule="auto"/>
              <w:ind w:left="0" w:firstLine="380"/>
              <w:jc w:val="center"/>
              <w:textAlignment w:val="auto"/>
              <w:rPr>
                <w:rFonts w:hint="eastAsia" w:ascii="宋体" w:hAnsi="宋体" w:eastAsia="宋体" w:cs="宋体"/>
                <w:sz w:val="24"/>
                <w:szCs w:val="24"/>
              </w:rPr>
            </w:pPr>
          </w:p>
        </w:tc>
      </w:tr>
    </w:tbl>
    <w:p w14:paraId="4A851A72">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14:paraId="5E92F25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服务职责:</w:t>
      </w:r>
    </w:p>
    <w:p w14:paraId="1AE903D4">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序号1：组织管理：</w:t>
      </w:r>
      <w:r>
        <w:rPr>
          <w:rFonts w:hint="eastAsia" w:ascii="宋体" w:hAnsi="宋体" w:eastAsia="宋体" w:cs="宋体"/>
          <w:sz w:val="24"/>
          <w:szCs w:val="24"/>
          <w:shd w:val="clear" w:fill="FFFFFF"/>
        </w:rPr>
        <w:t>按照《福州市园林绿地养护标准》中的二级管理标准要求，中标人应遵守公园管理规定，服从采购人管理。养护期限内，中标人应按照绿化养护操作规程及绿化养护质量标准，合理组织，精心养护，保质保量完成养护管理任务。</w:t>
      </w:r>
    </w:p>
    <w:p w14:paraId="4181349A">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2：制定计划：中标人进场前半个月应向采购人提交全年的养护计划(包括人员安排、修剪、施肥、植保等)，每个月的工作总结和下一月工作安排(包括人员安排、修剪、施肥、植保等)，以及节假日、重大检查、台风等期间的应急预案。</w:t>
      </w:r>
      <w:r>
        <w:rPr>
          <w:rFonts w:hint="eastAsia" w:ascii="宋体" w:hAnsi="宋体" w:eastAsia="宋体" w:cs="宋体"/>
          <w:sz w:val="24"/>
          <w:szCs w:val="24"/>
          <w:shd w:val="clear" w:fill="FFFFFF"/>
        </w:rPr>
        <w:t>每月底应向采购人汇报下个月养护管理计划及有关措施。每月5日前应向采购人提交上一个月养护内业资料。</w:t>
      </w:r>
    </w:p>
    <w:p w14:paraId="26E898AA">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（一）绿化养护作业内容：</w:t>
      </w:r>
    </w:p>
    <w:tbl>
      <w:tblPr>
        <w:tblStyle w:val="4"/>
        <w:tblW w:w="0" w:type="auto"/>
        <w:tblInd w:w="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3"/>
        <w:gridCol w:w="739"/>
        <w:gridCol w:w="1809"/>
        <w:gridCol w:w="2201"/>
        <w:gridCol w:w="2924"/>
      </w:tblGrid>
      <w:tr w14:paraId="1F3CA0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center"/>
          </w:tcPr>
          <w:p w14:paraId="47CF9921">
            <w:pPr>
              <w:pStyle w:val="6"/>
              <w:jc w:val="center"/>
              <w:rPr>
                <w:rFonts w:hint="default"/>
                <w:bCs/>
                <w:color w:val="auto"/>
                <w:highlight w:val="none"/>
              </w:rPr>
            </w:pPr>
            <w:r>
              <w:rPr>
                <w:rFonts w:ascii="宋体" w:hAnsi="宋体" w:eastAsia="宋体" w:cs="宋体"/>
                <w:bCs/>
                <w:color w:val="auto"/>
                <w:sz w:val="24"/>
                <w:highlight w:val="none"/>
              </w:rPr>
              <w:t>序号</w:t>
            </w:r>
          </w:p>
        </w:tc>
        <w:tc>
          <w:tcPr>
            <w:tcW w:w="739" w:type="dxa"/>
            <w:tcBorders>
              <w:top w:val="single" w:color="000000" w:sz="4" w:space="0"/>
              <w:left w:val="nil"/>
              <w:bottom w:val="single" w:color="000000" w:sz="4" w:space="0"/>
              <w:right w:val="single" w:color="000000" w:sz="4" w:space="0"/>
            </w:tcBorders>
            <w:tcMar>
              <w:top w:w="0" w:type="dxa"/>
              <w:left w:w="60" w:type="dxa"/>
              <w:bottom w:w="0" w:type="dxa"/>
              <w:right w:w="60" w:type="dxa"/>
            </w:tcMar>
            <w:vAlign w:val="center"/>
          </w:tcPr>
          <w:p w14:paraId="0D2E5D07">
            <w:pPr>
              <w:pStyle w:val="6"/>
              <w:jc w:val="center"/>
              <w:rPr>
                <w:rFonts w:hint="default"/>
                <w:bCs/>
                <w:color w:val="auto"/>
                <w:highlight w:val="none"/>
              </w:rPr>
            </w:pPr>
            <w:r>
              <w:rPr>
                <w:rFonts w:ascii="宋体" w:hAnsi="宋体" w:eastAsia="宋体" w:cs="宋体"/>
                <w:bCs/>
                <w:color w:val="auto"/>
                <w:sz w:val="24"/>
                <w:highlight w:val="none"/>
              </w:rPr>
              <w:t>作业分类</w:t>
            </w:r>
          </w:p>
        </w:tc>
        <w:tc>
          <w:tcPr>
            <w:tcW w:w="1809" w:type="dxa"/>
            <w:tcBorders>
              <w:top w:val="single" w:color="000000" w:sz="4" w:space="0"/>
              <w:left w:val="nil"/>
              <w:bottom w:val="single" w:color="000000" w:sz="4" w:space="0"/>
              <w:right w:val="single" w:color="000000" w:sz="4" w:space="0"/>
            </w:tcBorders>
            <w:tcMar>
              <w:top w:w="0" w:type="dxa"/>
              <w:left w:w="60" w:type="dxa"/>
              <w:bottom w:w="0" w:type="dxa"/>
              <w:right w:w="60" w:type="dxa"/>
            </w:tcMar>
            <w:vAlign w:val="center"/>
          </w:tcPr>
          <w:p w14:paraId="20A252DE">
            <w:pPr>
              <w:pStyle w:val="6"/>
              <w:jc w:val="center"/>
              <w:rPr>
                <w:rFonts w:hint="default"/>
                <w:bCs/>
                <w:color w:val="auto"/>
                <w:highlight w:val="none"/>
              </w:rPr>
            </w:pPr>
            <w:r>
              <w:rPr>
                <w:rFonts w:ascii="宋体" w:hAnsi="宋体" w:eastAsia="宋体" w:cs="宋体"/>
                <w:bCs/>
                <w:color w:val="auto"/>
                <w:sz w:val="24"/>
                <w:highlight w:val="none"/>
              </w:rPr>
              <w:t>作业内容</w:t>
            </w:r>
          </w:p>
        </w:tc>
        <w:tc>
          <w:tcPr>
            <w:tcW w:w="2201" w:type="dxa"/>
            <w:tcBorders>
              <w:top w:val="single" w:color="000000" w:sz="4" w:space="0"/>
              <w:left w:val="nil"/>
              <w:bottom w:val="single" w:color="000000" w:sz="4" w:space="0"/>
              <w:right w:val="single" w:color="000000" w:sz="4" w:space="0"/>
            </w:tcBorders>
            <w:tcMar>
              <w:top w:w="0" w:type="dxa"/>
              <w:left w:w="60" w:type="dxa"/>
              <w:bottom w:w="0" w:type="dxa"/>
              <w:right w:w="60" w:type="dxa"/>
            </w:tcMar>
            <w:vAlign w:val="center"/>
          </w:tcPr>
          <w:p w14:paraId="6053838F">
            <w:pPr>
              <w:pStyle w:val="6"/>
              <w:jc w:val="center"/>
              <w:rPr>
                <w:rFonts w:hint="default"/>
                <w:bCs/>
                <w:color w:val="auto"/>
                <w:highlight w:val="none"/>
              </w:rPr>
            </w:pPr>
            <w:r>
              <w:rPr>
                <w:rFonts w:ascii="宋体" w:hAnsi="宋体" w:eastAsia="宋体" w:cs="宋体"/>
                <w:bCs/>
                <w:color w:val="auto"/>
                <w:sz w:val="24"/>
                <w:highlight w:val="none"/>
              </w:rPr>
              <w:t>养护标准</w:t>
            </w:r>
          </w:p>
        </w:tc>
        <w:tc>
          <w:tcPr>
            <w:tcW w:w="2924" w:type="dxa"/>
            <w:tcBorders>
              <w:top w:val="single" w:color="000000" w:sz="4" w:space="0"/>
              <w:left w:val="nil"/>
              <w:bottom w:val="single" w:color="000000" w:sz="4" w:space="0"/>
              <w:right w:val="single" w:color="000000" w:sz="4" w:space="0"/>
            </w:tcBorders>
            <w:tcMar>
              <w:top w:w="0" w:type="dxa"/>
              <w:left w:w="60" w:type="dxa"/>
              <w:bottom w:w="0" w:type="dxa"/>
              <w:right w:w="60" w:type="dxa"/>
            </w:tcMar>
            <w:vAlign w:val="center"/>
          </w:tcPr>
          <w:p w14:paraId="085E36C9">
            <w:pPr>
              <w:pStyle w:val="6"/>
              <w:jc w:val="center"/>
              <w:rPr>
                <w:rFonts w:hint="default"/>
                <w:bCs/>
                <w:color w:val="auto"/>
                <w:highlight w:val="none"/>
              </w:rPr>
            </w:pPr>
            <w:r>
              <w:rPr>
                <w:rFonts w:ascii="宋体" w:hAnsi="宋体" w:eastAsia="宋体" w:cs="宋体"/>
                <w:bCs/>
                <w:color w:val="auto"/>
                <w:sz w:val="24"/>
                <w:highlight w:val="none"/>
              </w:rPr>
              <w:t>备注</w:t>
            </w:r>
          </w:p>
        </w:tc>
      </w:tr>
      <w:tr w14:paraId="4A2FAF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center"/>
          </w:tcPr>
          <w:p w14:paraId="5B3CC07D">
            <w:pPr>
              <w:pStyle w:val="6"/>
              <w:jc w:val="center"/>
              <w:rPr>
                <w:rFonts w:hint="default"/>
                <w:bCs/>
                <w:color w:val="auto"/>
                <w:highlight w:val="none"/>
              </w:rPr>
            </w:pPr>
            <w:r>
              <w:rPr>
                <w:rFonts w:ascii="宋体" w:hAnsi="宋体" w:eastAsia="宋体" w:cs="宋体"/>
                <w:bCs/>
                <w:color w:val="auto"/>
                <w:sz w:val="24"/>
                <w:highlight w:val="none"/>
              </w:rPr>
              <w:t>3</w:t>
            </w:r>
          </w:p>
        </w:tc>
        <w:tc>
          <w:tcPr>
            <w:tcW w:w="739" w:type="dxa"/>
            <w:vMerge w:val="restart"/>
            <w:tcBorders>
              <w:top w:val="nil"/>
              <w:left w:val="nil"/>
              <w:bottom w:val="single" w:color="000000" w:sz="4" w:space="0"/>
              <w:right w:val="single" w:color="000000" w:sz="4" w:space="0"/>
            </w:tcBorders>
            <w:tcMar>
              <w:top w:w="0" w:type="dxa"/>
              <w:left w:w="60" w:type="dxa"/>
              <w:bottom w:w="0" w:type="dxa"/>
              <w:right w:w="60" w:type="dxa"/>
            </w:tcMar>
            <w:vAlign w:val="center"/>
          </w:tcPr>
          <w:p w14:paraId="33E1DA4F">
            <w:pPr>
              <w:pStyle w:val="6"/>
              <w:jc w:val="center"/>
              <w:rPr>
                <w:rFonts w:hint="default"/>
                <w:bCs/>
                <w:color w:val="auto"/>
                <w:highlight w:val="none"/>
              </w:rPr>
            </w:pPr>
            <w:r>
              <w:rPr>
                <w:rFonts w:ascii="宋体" w:hAnsi="宋体" w:eastAsia="宋体" w:cs="宋体"/>
                <w:bCs/>
                <w:color w:val="auto"/>
                <w:sz w:val="24"/>
                <w:highlight w:val="none"/>
              </w:rPr>
              <w:t>日常绿化养护</w:t>
            </w: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5718522D">
            <w:pPr>
              <w:pStyle w:val="6"/>
              <w:jc w:val="center"/>
              <w:rPr>
                <w:rFonts w:hint="default"/>
                <w:bCs/>
                <w:color w:val="auto"/>
                <w:highlight w:val="none"/>
              </w:rPr>
            </w:pPr>
            <w:r>
              <w:rPr>
                <w:rFonts w:ascii="宋体" w:hAnsi="宋体" w:eastAsia="宋体" w:cs="宋体"/>
                <w:bCs/>
                <w:color w:val="auto"/>
                <w:sz w:val="24"/>
                <w:highlight w:val="none"/>
              </w:rPr>
              <w:t>浇水</w:t>
            </w:r>
          </w:p>
        </w:tc>
        <w:tc>
          <w:tcPr>
            <w:tcW w:w="2201" w:type="dxa"/>
            <w:vMerge w:val="restart"/>
            <w:tcBorders>
              <w:top w:val="nil"/>
              <w:left w:val="nil"/>
              <w:bottom w:val="outset" w:color="000000" w:sz="4" w:space="0"/>
              <w:right w:val="single" w:color="000000" w:sz="4" w:space="0"/>
            </w:tcBorders>
            <w:tcMar>
              <w:top w:w="0" w:type="dxa"/>
              <w:left w:w="60" w:type="dxa"/>
              <w:bottom w:w="0" w:type="dxa"/>
              <w:right w:w="60" w:type="dxa"/>
            </w:tcMar>
            <w:vAlign w:val="center"/>
          </w:tcPr>
          <w:p w14:paraId="051CD1C2">
            <w:pPr>
              <w:pStyle w:val="6"/>
              <w:jc w:val="center"/>
              <w:rPr>
                <w:rFonts w:hint="default"/>
                <w:bCs/>
                <w:color w:val="auto"/>
                <w:highlight w:val="none"/>
              </w:rPr>
            </w:pPr>
            <w:r>
              <w:rPr>
                <w:rFonts w:ascii="宋体" w:hAnsi="宋体" w:eastAsia="宋体" w:cs="宋体"/>
                <w:bCs/>
                <w:color w:val="auto"/>
                <w:sz w:val="24"/>
                <w:highlight w:val="none"/>
                <w:shd w:val="clear" w:color="auto" w:fill="FFFFFF"/>
              </w:rPr>
              <w:t>《福建省城市园林绿地养护质量标准》中的二级管理标准、《福州市乌龙江公园园林绿化养护质量考核标准与评分依据》</w:t>
            </w:r>
          </w:p>
          <w:p w14:paraId="506D660C">
            <w:pPr>
              <w:pStyle w:val="6"/>
              <w:ind w:firstLine="380"/>
              <w:jc w:val="center"/>
              <w:rPr>
                <w:rFonts w:hint="default"/>
                <w:bCs/>
                <w:color w:val="auto"/>
                <w:highlight w:val="none"/>
              </w:rPr>
            </w:pPr>
          </w:p>
        </w:tc>
        <w:tc>
          <w:tcPr>
            <w:tcW w:w="2924" w:type="dxa"/>
            <w:vMerge w:val="restart"/>
            <w:tcBorders>
              <w:top w:val="nil"/>
              <w:left w:val="nil"/>
              <w:bottom w:val="outset" w:color="000000" w:sz="4" w:space="0"/>
              <w:right w:val="single" w:color="000000" w:sz="4" w:space="0"/>
            </w:tcBorders>
            <w:tcMar>
              <w:top w:w="0" w:type="dxa"/>
              <w:left w:w="60" w:type="dxa"/>
              <w:bottom w:w="0" w:type="dxa"/>
              <w:right w:w="60" w:type="dxa"/>
            </w:tcMar>
            <w:vAlign w:val="center"/>
          </w:tcPr>
          <w:p w14:paraId="3E3FC301">
            <w:pPr>
              <w:pStyle w:val="6"/>
              <w:jc w:val="center"/>
              <w:rPr>
                <w:rFonts w:hint="default"/>
                <w:bCs/>
                <w:color w:val="auto"/>
                <w:highlight w:val="none"/>
              </w:rPr>
            </w:pPr>
            <w:r>
              <w:rPr>
                <w:rFonts w:ascii="宋体" w:hAnsi="宋体" w:eastAsia="宋体" w:cs="宋体"/>
                <w:bCs/>
                <w:color w:val="auto"/>
                <w:sz w:val="24"/>
                <w:highlight w:val="none"/>
              </w:rPr>
              <w:t>合同范围内</w:t>
            </w:r>
          </w:p>
          <w:p w14:paraId="0E7B5508">
            <w:pPr>
              <w:pStyle w:val="6"/>
              <w:ind w:firstLine="380"/>
              <w:jc w:val="center"/>
              <w:rPr>
                <w:rFonts w:hint="default"/>
                <w:bCs/>
                <w:color w:val="auto"/>
                <w:highlight w:val="none"/>
              </w:rPr>
            </w:pPr>
          </w:p>
        </w:tc>
      </w:tr>
      <w:tr w14:paraId="4252B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16C15C1D">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37A82CF0">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2C55870F">
            <w:pPr>
              <w:pStyle w:val="6"/>
              <w:jc w:val="center"/>
              <w:rPr>
                <w:rFonts w:hint="default"/>
                <w:bCs/>
                <w:color w:val="auto"/>
                <w:highlight w:val="none"/>
              </w:rPr>
            </w:pPr>
            <w:r>
              <w:rPr>
                <w:rFonts w:ascii="宋体" w:hAnsi="宋体" w:eastAsia="宋体" w:cs="宋体"/>
                <w:bCs/>
                <w:color w:val="auto"/>
                <w:sz w:val="24"/>
                <w:highlight w:val="none"/>
              </w:rPr>
              <w:t>抹芽、修剪</w:t>
            </w:r>
          </w:p>
        </w:tc>
        <w:tc>
          <w:tcPr>
            <w:tcW w:w="2201" w:type="dxa"/>
            <w:vMerge w:val="continue"/>
            <w:tcBorders>
              <w:top w:val="nil"/>
              <w:left w:val="nil"/>
              <w:bottom w:val="outset" w:color="000000" w:sz="4" w:space="0"/>
              <w:right w:val="single" w:color="000000" w:sz="4" w:space="0"/>
            </w:tcBorders>
            <w:vAlign w:val="center"/>
          </w:tcPr>
          <w:p w14:paraId="496A683F">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7D1E3941">
            <w:pPr>
              <w:jc w:val="center"/>
              <w:rPr>
                <w:bCs/>
                <w:color w:val="auto"/>
                <w:highlight w:val="none"/>
              </w:rPr>
            </w:pPr>
          </w:p>
        </w:tc>
      </w:tr>
      <w:tr w14:paraId="41403A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40220A8B">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5B53295E">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13000A39">
            <w:pPr>
              <w:pStyle w:val="6"/>
              <w:jc w:val="center"/>
              <w:rPr>
                <w:rFonts w:hint="default"/>
                <w:bCs/>
                <w:color w:val="auto"/>
                <w:highlight w:val="none"/>
              </w:rPr>
            </w:pPr>
            <w:r>
              <w:rPr>
                <w:rFonts w:ascii="宋体" w:hAnsi="宋体" w:eastAsia="宋体" w:cs="宋体"/>
                <w:bCs/>
                <w:color w:val="auto"/>
                <w:sz w:val="24"/>
                <w:highlight w:val="none"/>
              </w:rPr>
              <w:t>施肥、复壮</w:t>
            </w:r>
          </w:p>
        </w:tc>
        <w:tc>
          <w:tcPr>
            <w:tcW w:w="2201" w:type="dxa"/>
            <w:vMerge w:val="continue"/>
            <w:tcBorders>
              <w:top w:val="nil"/>
              <w:left w:val="nil"/>
              <w:bottom w:val="outset" w:color="000000" w:sz="4" w:space="0"/>
              <w:right w:val="single" w:color="000000" w:sz="4" w:space="0"/>
            </w:tcBorders>
            <w:vAlign w:val="center"/>
          </w:tcPr>
          <w:p w14:paraId="4B71FF3D">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4451DC0C">
            <w:pPr>
              <w:jc w:val="center"/>
              <w:rPr>
                <w:bCs/>
                <w:color w:val="auto"/>
                <w:highlight w:val="none"/>
              </w:rPr>
            </w:pPr>
          </w:p>
        </w:tc>
      </w:tr>
      <w:tr w14:paraId="1AFDC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55095121">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1CD56B7B">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3EF939F9">
            <w:pPr>
              <w:pStyle w:val="6"/>
              <w:jc w:val="center"/>
              <w:rPr>
                <w:rFonts w:hint="default"/>
                <w:bCs/>
                <w:color w:val="auto"/>
                <w:highlight w:val="none"/>
              </w:rPr>
            </w:pPr>
            <w:r>
              <w:rPr>
                <w:rFonts w:ascii="宋体" w:hAnsi="宋体" w:eastAsia="宋体" w:cs="宋体"/>
                <w:bCs/>
                <w:color w:val="auto"/>
                <w:sz w:val="24"/>
                <w:highlight w:val="none"/>
              </w:rPr>
              <w:t>打草、除杂草</w:t>
            </w:r>
          </w:p>
        </w:tc>
        <w:tc>
          <w:tcPr>
            <w:tcW w:w="2201" w:type="dxa"/>
            <w:vMerge w:val="continue"/>
            <w:tcBorders>
              <w:top w:val="nil"/>
              <w:left w:val="nil"/>
              <w:bottom w:val="outset" w:color="000000" w:sz="4" w:space="0"/>
              <w:right w:val="single" w:color="000000" w:sz="4" w:space="0"/>
            </w:tcBorders>
            <w:vAlign w:val="center"/>
          </w:tcPr>
          <w:p w14:paraId="37E5A0A1">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43EC70BC">
            <w:pPr>
              <w:jc w:val="center"/>
              <w:rPr>
                <w:bCs/>
                <w:color w:val="auto"/>
                <w:highlight w:val="none"/>
              </w:rPr>
            </w:pPr>
          </w:p>
        </w:tc>
      </w:tr>
      <w:tr w14:paraId="11B76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4FAACC5E">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704D2B21">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7F05BAEA">
            <w:pPr>
              <w:pStyle w:val="6"/>
              <w:jc w:val="center"/>
              <w:rPr>
                <w:rFonts w:hint="default"/>
                <w:bCs/>
                <w:color w:val="auto"/>
                <w:highlight w:val="none"/>
              </w:rPr>
            </w:pPr>
            <w:r>
              <w:rPr>
                <w:rFonts w:ascii="宋体" w:hAnsi="宋体" w:eastAsia="宋体" w:cs="宋体"/>
                <w:bCs/>
                <w:color w:val="auto"/>
                <w:sz w:val="24"/>
                <w:highlight w:val="none"/>
              </w:rPr>
              <w:t>病虫害防治</w:t>
            </w:r>
          </w:p>
        </w:tc>
        <w:tc>
          <w:tcPr>
            <w:tcW w:w="2201" w:type="dxa"/>
            <w:vMerge w:val="continue"/>
            <w:tcBorders>
              <w:top w:val="nil"/>
              <w:left w:val="nil"/>
              <w:bottom w:val="outset" w:color="000000" w:sz="4" w:space="0"/>
              <w:right w:val="single" w:color="000000" w:sz="4" w:space="0"/>
            </w:tcBorders>
            <w:vAlign w:val="center"/>
          </w:tcPr>
          <w:p w14:paraId="0B98B77E">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0D663F2D">
            <w:pPr>
              <w:jc w:val="center"/>
              <w:rPr>
                <w:bCs/>
                <w:color w:val="auto"/>
                <w:highlight w:val="none"/>
              </w:rPr>
            </w:pPr>
          </w:p>
        </w:tc>
      </w:tr>
      <w:tr w14:paraId="59418E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12597DCC">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042FD3C5">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2C391A67">
            <w:pPr>
              <w:pStyle w:val="6"/>
              <w:jc w:val="center"/>
              <w:rPr>
                <w:rFonts w:hint="default"/>
                <w:bCs/>
                <w:color w:val="auto"/>
                <w:highlight w:val="none"/>
              </w:rPr>
            </w:pPr>
            <w:r>
              <w:rPr>
                <w:rFonts w:ascii="宋体" w:hAnsi="宋体" w:eastAsia="宋体" w:cs="宋体"/>
                <w:bCs/>
                <w:color w:val="auto"/>
                <w:sz w:val="24"/>
                <w:highlight w:val="none"/>
              </w:rPr>
              <w:t>树木扶正、防寒防风、抗旱抗涝</w:t>
            </w:r>
          </w:p>
        </w:tc>
        <w:tc>
          <w:tcPr>
            <w:tcW w:w="2201" w:type="dxa"/>
            <w:vMerge w:val="continue"/>
            <w:tcBorders>
              <w:top w:val="nil"/>
              <w:left w:val="nil"/>
              <w:bottom w:val="outset" w:color="000000" w:sz="4" w:space="0"/>
              <w:right w:val="single" w:color="000000" w:sz="4" w:space="0"/>
            </w:tcBorders>
            <w:vAlign w:val="center"/>
          </w:tcPr>
          <w:p w14:paraId="119D8B75">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3D60FD90">
            <w:pPr>
              <w:jc w:val="center"/>
              <w:rPr>
                <w:bCs/>
                <w:color w:val="auto"/>
                <w:highlight w:val="none"/>
              </w:rPr>
            </w:pPr>
          </w:p>
        </w:tc>
      </w:tr>
      <w:tr w14:paraId="6DCB8B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173BEFA9">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5AEFBDBE">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71277059">
            <w:pPr>
              <w:pStyle w:val="6"/>
              <w:jc w:val="center"/>
              <w:rPr>
                <w:rFonts w:hint="default"/>
                <w:bCs/>
                <w:color w:val="auto"/>
                <w:highlight w:val="none"/>
              </w:rPr>
            </w:pPr>
            <w:r>
              <w:rPr>
                <w:rFonts w:ascii="宋体" w:hAnsi="宋体" w:eastAsia="宋体" w:cs="宋体"/>
                <w:bCs/>
                <w:color w:val="auto"/>
                <w:sz w:val="24"/>
                <w:highlight w:val="none"/>
              </w:rPr>
              <w:t>树木支撑更换、维护</w:t>
            </w:r>
          </w:p>
        </w:tc>
        <w:tc>
          <w:tcPr>
            <w:tcW w:w="2201" w:type="dxa"/>
            <w:vMerge w:val="continue"/>
            <w:tcBorders>
              <w:top w:val="nil"/>
              <w:left w:val="nil"/>
              <w:bottom w:val="outset" w:color="000000" w:sz="4" w:space="0"/>
              <w:right w:val="single" w:color="000000" w:sz="4" w:space="0"/>
            </w:tcBorders>
            <w:vAlign w:val="center"/>
          </w:tcPr>
          <w:p w14:paraId="1670DF09">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70B0A00C">
            <w:pPr>
              <w:jc w:val="center"/>
              <w:rPr>
                <w:bCs/>
                <w:color w:val="auto"/>
                <w:highlight w:val="none"/>
              </w:rPr>
            </w:pPr>
          </w:p>
        </w:tc>
      </w:tr>
      <w:tr w14:paraId="4B3530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6C3656D7">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0829D002">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70A22E65">
            <w:pPr>
              <w:pStyle w:val="6"/>
              <w:jc w:val="center"/>
              <w:rPr>
                <w:rFonts w:hint="default"/>
                <w:bCs/>
                <w:color w:val="auto"/>
                <w:highlight w:val="none"/>
              </w:rPr>
            </w:pPr>
            <w:r>
              <w:rPr>
                <w:rFonts w:ascii="宋体" w:hAnsi="宋体" w:eastAsia="宋体" w:cs="宋体"/>
                <w:bCs/>
                <w:color w:val="auto"/>
                <w:sz w:val="24"/>
                <w:highlight w:val="none"/>
              </w:rPr>
              <w:t>切边、松土</w:t>
            </w:r>
          </w:p>
        </w:tc>
        <w:tc>
          <w:tcPr>
            <w:tcW w:w="2201" w:type="dxa"/>
            <w:vMerge w:val="continue"/>
            <w:tcBorders>
              <w:top w:val="nil"/>
              <w:left w:val="nil"/>
              <w:bottom w:val="outset" w:color="000000" w:sz="4" w:space="0"/>
              <w:right w:val="single" w:color="000000" w:sz="4" w:space="0"/>
            </w:tcBorders>
            <w:vAlign w:val="center"/>
          </w:tcPr>
          <w:p w14:paraId="2025C576">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5D78E07A">
            <w:pPr>
              <w:jc w:val="center"/>
              <w:rPr>
                <w:bCs/>
                <w:color w:val="auto"/>
                <w:highlight w:val="none"/>
              </w:rPr>
            </w:pPr>
          </w:p>
        </w:tc>
      </w:tr>
      <w:tr w14:paraId="4C0B8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7C519641">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6E99C596">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2FE530DB">
            <w:pPr>
              <w:pStyle w:val="6"/>
              <w:jc w:val="center"/>
              <w:rPr>
                <w:rFonts w:hint="default"/>
                <w:bCs/>
                <w:color w:val="auto"/>
                <w:highlight w:val="none"/>
              </w:rPr>
            </w:pPr>
            <w:r>
              <w:rPr>
                <w:rFonts w:ascii="宋体" w:hAnsi="宋体" w:eastAsia="宋体" w:cs="宋体"/>
                <w:bCs/>
                <w:color w:val="auto"/>
                <w:sz w:val="24"/>
                <w:highlight w:val="none"/>
              </w:rPr>
              <w:t>园内绿化垃圾的收集及清运</w:t>
            </w:r>
          </w:p>
        </w:tc>
        <w:tc>
          <w:tcPr>
            <w:tcW w:w="2201" w:type="dxa"/>
            <w:vMerge w:val="continue"/>
            <w:tcBorders>
              <w:top w:val="nil"/>
              <w:left w:val="nil"/>
              <w:bottom w:val="outset" w:color="000000" w:sz="4" w:space="0"/>
              <w:right w:val="single" w:color="000000" w:sz="4" w:space="0"/>
            </w:tcBorders>
            <w:vAlign w:val="center"/>
          </w:tcPr>
          <w:p w14:paraId="726D0E2B">
            <w:pPr>
              <w:jc w:val="center"/>
              <w:rPr>
                <w:bCs/>
                <w:color w:val="auto"/>
                <w:highlight w:val="none"/>
              </w:rPr>
            </w:pPr>
          </w:p>
        </w:tc>
        <w:tc>
          <w:tcPr>
            <w:tcW w:w="2924" w:type="dxa"/>
            <w:vMerge w:val="continue"/>
            <w:tcBorders>
              <w:top w:val="nil"/>
              <w:left w:val="nil"/>
              <w:bottom w:val="outset" w:color="000000" w:sz="4" w:space="0"/>
              <w:right w:val="single" w:color="000000" w:sz="4" w:space="0"/>
            </w:tcBorders>
            <w:vAlign w:val="center"/>
          </w:tcPr>
          <w:p w14:paraId="28C46A55">
            <w:pPr>
              <w:jc w:val="center"/>
              <w:rPr>
                <w:bCs/>
                <w:color w:val="auto"/>
                <w:highlight w:val="none"/>
              </w:rPr>
            </w:pPr>
          </w:p>
        </w:tc>
      </w:tr>
      <w:tr w14:paraId="62CE43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14:paraId="73E3227E">
            <w:pPr>
              <w:pStyle w:val="6"/>
              <w:jc w:val="center"/>
              <w:rPr>
                <w:rFonts w:hint="default"/>
                <w:bCs/>
                <w:color w:val="auto"/>
                <w:highlight w:val="none"/>
              </w:rPr>
            </w:pPr>
            <w:r>
              <w:rPr>
                <w:rFonts w:ascii="宋体" w:hAnsi="宋体" w:eastAsia="宋体" w:cs="宋体"/>
                <w:bCs/>
                <w:color w:val="auto"/>
                <w:sz w:val="24"/>
                <w:highlight w:val="none"/>
              </w:rPr>
              <w:t>4</w:t>
            </w:r>
          </w:p>
        </w:tc>
        <w:tc>
          <w:tcPr>
            <w:tcW w:w="739"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14:paraId="5E890B15">
            <w:pPr>
              <w:pStyle w:val="6"/>
              <w:jc w:val="center"/>
              <w:rPr>
                <w:rFonts w:hint="default"/>
                <w:bCs/>
                <w:color w:val="auto"/>
                <w:highlight w:val="none"/>
              </w:rPr>
            </w:pPr>
            <w:r>
              <w:rPr>
                <w:rFonts w:ascii="宋体" w:hAnsi="宋体" w:eastAsia="宋体" w:cs="宋体"/>
                <w:bCs/>
                <w:color w:val="auto"/>
                <w:sz w:val="24"/>
                <w:highlight w:val="none"/>
              </w:rPr>
              <w:t>专项绿化养护</w:t>
            </w: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64E29F56">
            <w:pPr>
              <w:pStyle w:val="6"/>
              <w:ind w:firstLine="380"/>
              <w:jc w:val="center"/>
              <w:rPr>
                <w:rFonts w:hint="default"/>
                <w:bCs/>
                <w:color w:val="auto"/>
                <w:highlight w:val="none"/>
              </w:rPr>
            </w:pPr>
            <w:r>
              <w:rPr>
                <w:rFonts w:ascii="宋体" w:hAnsi="宋体" w:eastAsia="宋体" w:cs="宋体"/>
                <w:bCs/>
                <w:color w:val="auto"/>
                <w:sz w:val="24"/>
                <w:highlight w:val="none"/>
              </w:rPr>
              <w:t>植物移植、种植</w:t>
            </w:r>
          </w:p>
        </w:tc>
        <w:tc>
          <w:tcPr>
            <w:tcW w:w="2201" w:type="dxa"/>
            <w:vMerge w:val="restart"/>
            <w:tcBorders>
              <w:top w:val="nil"/>
              <w:left w:val="nil"/>
              <w:bottom w:val="outset" w:color="000000" w:sz="4" w:space="0"/>
              <w:right w:val="single" w:color="000000" w:sz="4" w:space="0"/>
            </w:tcBorders>
            <w:tcMar>
              <w:top w:w="15" w:type="dxa"/>
              <w:left w:w="15" w:type="dxa"/>
              <w:bottom w:w="15" w:type="dxa"/>
              <w:right w:w="15" w:type="dxa"/>
            </w:tcMar>
            <w:vAlign w:val="center"/>
          </w:tcPr>
          <w:p w14:paraId="5D45D1D4">
            <w:pPr>
              <w:pStyle w:val="6"/>
              <w:jc w:val="center"/>
              <w:rPr>
                <w:rFonts w:hint="default"/>
                <w:bCs/>
                <w:color w:val="auto"/>
                <w:highlight w:val="none"/>
              </w:rPr>
            </w:pPr>
            <w:r>
              <w:rPr>
                <w:rFonts w:ascii="宋体" w:hAnsi="宋体" w:eastAsia="宋体" w:cs="宋体"/>
                <w:bCs/>
                <w:color w:val="auto"/>
                <w:sz w:val="24"/>
                <w:highlight w:val="none"/>
              </w:rPr>
              <w:t>《福建省城市园林绿地养护质量标准》中的二级管理标准</w:t>
            </w:r>
          </w:p>
        </w:tc>
        <w:tc>
          <w:tcPr>
            <w:tcW w:w="2924" w:type="dxa"/>
            <w:tcBorders>
              <w:top w:val="nil"/>
              <w:left w:val="nil"/>
              <w:bottom w:val="single" w:color="000000" w:sz="4" w:space="0"/>
              <w:right w:val="single" w:color="000000" w:sz="4" w:space="0"/>
            </w:tcBorders>
            <w:tcMar>
              <w:top w:w="0" w:type="dxa"/>
              <w:left w:w="60" w:type="dxa"/>
              <w:bottom w:w="0" w:type="dxa"/>
              <w:right w:w="60" w:type="dxa"/>
            </w:tcMar>
            <w:vAlign w:val="center"/>
          </w:tcPr>
          <w:p w14:paraId="4EB5290B">
            <w:pPr>
              <w:pStyle w:val="6"/>
              <w:ind w:firstLine="480" w:firstLineChars="200"/>
              <w:jc w:val="left"/>
              <w:rPr>
                <w:rFonts w:hint="default"/>
                <w:bCs/>
                <w:color w:val="auto"/>
                <w:highlight w:val="none"/>
              </w:rPr>
            </w:pPr>
            <w:r>
              <w:rPr>
                <w:rFonts w:ascii="宋体" w:hAnsi="宋体" w:eastAsia="宋体" w:cs="宋体"/>
                <w:bCs/>
                <w:color w:val="auto"/>
                <w:sz w:val="24"/>
                <w:highlight w:val="none"/>
              </w:rPr>
              <w:t>公园内地被植物、草坪等需要小范围补植和移植的(50㎡以内/每次)，花灌木及小乔木需移植的(20株以内/每次)，应由中标人负责。超出部分按采购人的方案要求进行苗木采购、种植、养护等。费用由中标人上报签证，采购人随机选择第三方造价咨询单位进行审核，以审核后金额为准支付(相关费用不包含在本次项目费用中)。</w:t>
            </w:r>
          </w:p>
        </w:tc>
      </w:tr>
      <w:tr w14:paraId="0EBFE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single" w:color="000000" w:sz="4" w:space="0"/>
              <w:right w:val="single" w:color="000000" w:sz="4" w:space="0"/>
            </w:tcBorders>
            <w:vAlign w:val="center"/>
          </w:tcPr>
          <w:p w14:paraId="34AD47F5">
            <w:pPr>
              <w:jc w:val="center"/>
              <w:rPr>
                <w:bCs/>
                <w:color w:val="auto"/>
                <w:highlight w:val="none"/>
              </w:rPr>
            </w:pPr>
          </w:p>
        </w:tc>
        <w:tc>
          <w:tcPr>
            <w:tcW w:w="739" w:type="dxa"/>
            <w:vMerge w:val="continue"/>
            <w:tcBorders>
              <w:top w:val="nil"/>
              <w:left w:val="nil"/>
              <w:bottom w:val="single" w:color="000000" w:sz="4" w:space="0"/>
              <w:right w:val="single" w:color="000000" w:sz="4" w:space="0"/>
            </w:tcBorders>
            <w:vAlign w:val="center"/>
          </w:tcPr>
          <w:p w14:paraId="3599CF73">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6AE8337D">
            <w:pPr>
              <w:pStyle w:val="6"/>
              <w:ind w:firstLine="380"/>
              <w:jc w:val="center"/>
              <w:rPr>
                <w:rFonts w:hint="default"/>
                <w:bCs/>
                <w:color w:val="auto"/>
                <w:highlight w:val="none"/>
              </w:rPr>
            </w:pPr>
            <w:r>
              <w:rPr>
                <w:rFonts w:ascii="宋体" w:hAnsi="宋体" w:eastAsia="宋体" w:cs="宋体"/>
                <w:bCs/>
                <w:color w:val="auto"/>
                <w:sz w:val="24"/>
                <w:highlight w:val="none"/>
              </w:rPr>
              <w:t>抢险救灾、灾后重建及上级下达的景点建设任务、园区绿化提升改造</w:t>
            </w:r>
          </w:p>
        </w:tc>
        <w:tc>
          <w:tcPr>
            <w:tcW w:w="2201" w:type="dxa"/>
            <w:vMerge w:val="continue"/>
            <w:tcBorders>
              <w:top w:val="nil"/>
              <w:left w:val="nil"/>
              <w:bottom w:val="outset" w:color="000000" w:sz="4" w:space="0"/>
              <w:right w:val="single" w:color="000000" w:sz="4" w:space="0"/>
            </w:tcBorders>
            <w:vAlign w:val="center"/>
          </w:tcPr>
          <w:p w14:paraId="641C97F1">
            <w:pPr>
              <w:jc w:val="center"/>
              <w:rPr>
                <w:bCs/>
                <w:color w:val="auto"/>
                <w:highlight w:val="none"/>
              </w:rPr>
            </w:pPr>
          </w:p>
        </w:tc>
        <w:tc>
          <w:tcPr>
            <w:tcW w:w="2924" w:type="dxa"/>
            <w:tcBorders>
              <w:top w:val="nil"/>
              <w:left w:val="nil"/>
              <w:bottom w:val="single" w:color="000000" w:sz="4" w:space="0"/>
              <w:right w:val="single" w:color="000000" w:sz="4" w:space="0"/>
            </w:tcBorders>
            <w:tcMar>
              <w:top w:w="0" w:type="dxa"/>
              <w:left w:w="60" w:type="dxa"/>
              <w:bottom w:w="0" w:type="dxa"/>
              <w:right w:w="60" w:type="dxa"/>
            </w:tcMar>
            <w:vAlign w:val="center"/>
          </w:tcPr>
          <w:p w14:paraId="5DD2C906">
            <w:pPr>
              <w:pStyle w:val="6"/>
              <w:ind w:firstLine="480" w:firstLineChars="200"/>
              <w:jc w:val="left"/>
              <w:rPr>
                <w:rFonts w:hint="default"/>
                <w:bCs/>
                <w:color w:val="auto"/>
                <w:highlight w:val="none"/>
              </w:rPr>
            </w:pPr>
            <w:r>
              <w:rPr>
                <w:rFonts w:ascii="宋体" w:hAnsi="宋体" w:eastAsia="宋体" w:cs="宋体"/>
                <w:bCs/>
                <w:color w:val="auto"/>
                <w:sz w:val="24"/>
                <w:highlight w:val="none"/>
              </w:rPr>
              <w:t>公园内地被植物、草坪等绿化恢复、改造，单次100㎡以内的（不含乔灌木），应由中标人负责。超过部分按采购人的方案要求进行苗木采购、摆花、种植、养护等的，苗木采购的费用由中标人上报签证，采购人随机选择第三方咨询单位进行审核，以审核后金额为准支付 (相关费用不包含在本次项目费用中)。</w:t>
            </w:r>
          </w:p>
        </w:tc>
      </w:tr>
      <w:tr w14:paraId="21C9C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restart"/>
            <w:tcBorders>
              <w:top w:val="nil"/>
              <w:left w:val="single" w:color="000000" w:sz="4" w:space="0"/>
              <w:bottom w:val="outset" w:color="000000" w:sz="4" w:space="0"/>
              <w:right w:val="single" w:color="000000" w:sz="4" w:space="0"/>
            </w:tcBorders>
            <w:tcMar>
              <w:top w:w="0" w:type="dxa"/>
              <w:left w:w="60" w:type="dxa"/>
              <w:bottom w:w="0" w:type="dxa"/>
              <w:right w:w="60" w:type="dxa"/>
            </w:tcMar>
            <w:vAlign w:val="center"/>
          </w:tcPr>
          <w:p w14:paraId="576930EE">
            <w:pPr>
              <w:pStyle w:val="6"/>
              <w:jc w:val="center"/>
              <w:rPr>
                <w:rFonts w:hint="default"/>
                <w:bCs/>
                <w:color w:val="auto"/>
                <w:highlight w:val="none"/>
              </w:rPr>
            </w:pPr>
            <w:r>
              <w:rPr>
                <w:rFonts w:ascii="宋体" w:hAnsi="宋体" w:eastAsia="宋体" w:cs="宋体"/>
                <w:bCs/>
                <w:color w:val="auto"/>
                <w:sz w:val="24"/>
                <w:highlight w:val="none"/>
              </w:rPr>
              <w:t>5</w:t>
            </w:r>
          </w:p>
        </w:tc>
        <w:tc>
          <w:tcPr>
            <w:tcW w:w="739" w:type="dxa"/>
            <w:vMerge w:val="restart"/>
            <w:tcBorders>
              <w:top w:val="nil"/>
              <w:left w:val="nil"/>
              <w:bottom w:val="outset" w:color="000000" w:sz="4" w:space="0"/>
              <w:right w:val="single" w:color="000000" w:sz="4" w:space="0"/>
            </w:tcBorders>
            <w:tcMar>
              <w:top w:w="0" w:type="dxa"/>
              <w:left w:w="60" w:type="dxa"/>
              <w:bottom w:w="0" w:type="dxa"/>
              <w:right w:w="60" w:type="dxa"/>
            </w:tcMar>
            <w:vAlign w:val="center"/>
          </w:tcPr>
          <w:p w14:paraId="496FC089">
            <w:pPr>
              <w:pStyle w:val="6"/>
              <w:jc w:val="center"/>
              <w:rPr>
                <w:rFonts w:hint="default"/>
                <w:bCs/>
                <w:color w:val="auto"/>
                <w:highlight w:val="none"/>
              </w:rPr>
            </w:pPr>
            <w:r>
              <w:rPr>
                <w:rFonts w:ascii="宋体" w:hAnsi="宋体" w:eastAsia="宋体" w:cs="宋体"/>
                <w:bCs/>
                <w:color w:val="auto"/>
                <w:sz w:val="24"/>
                <w:highlight w:val="none"/>
              </w:rPr>
              <w:t>其他</w:t>
            </w: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20E5F3D3">
            <w:pPr>
              <w:pStyle w:val="6"/>
              <w:ind w:left="0" w:leftChars="0" w:firstLine="0" w:firstLineChars="0"/>
              <w:jc w:val="center"/>
              <w:rPr>
                <w:rFonts w:hint="default"/>
                <w:bCs/>
                <w:color w:val="auto"/>
                <w:highlight w:val="none"/>
              </w:rPr>
            </w:pPr>
            <w:r>
              <w:rPr>
                <w:rFonts w:ascii="宋体" w:hAnsi="宋体" w:eastAsia="宋体" w:cs="宋体"/>
                <w:bCs/>
                <w:color w:val="auto"/>
                <w:sz w:val="24"/>
                <w:highlight w:val="none"/>
              </w:rPr>
              <w:t>节日摆花</w:t>
            </w:r>
          </w:p>
        </w:tc>
        <w:tc>
          <w:tcPr>
            <w:tcW w:w="2201" w:type="dxa"/>
            <w:vMerge w:val="restart"/>
            <w:tcBorders>
              <w:top w:val="nil"/>
              <w:left w:val="nil"/>
              <w:bottom w:val="outset" w:color="000000" w:sz="4" w:space="0"/>
              <w:right w:val="single" w:color="000000" w:sz="4" w:space="0"/>
            </w:tcBorders>
            <w:tcMar>
              <w:top w:w="0" w:type="dxa"/>
              <w:left w:w="60" w:type="dxa"/>
              <w:bottom w:w="0" w:type="dxa"/>
              <w:right w:w="60" w:type="dxa"/>
            </w:tcMar>
            <w:vAlign w:val="center"/>
          </w:tcPr>
          <w:p w14:paraId="31F018EC">
            <w:pPr>
              <w:pStyle w:val="6"/>
              <w:jc w:val="center"/>
              <w:rPr>
                <w:rFonts w:hint="default"/>
                <w:bCs/>
                <w:color w:val="auto"/>
                <w:highlight w:val="none"/>
              </w:rPr>
            </w:pPr>
            <w:r>
              <w:rPr>
                <w:rFonts w:ascii="宋体" w:hAnsi="宋体" w:eastAsia="宋体" w:cs="宋体"/>
                <w:bCs/>
                <w:color w:val="auto"/>
                <w:sz w:val="24"/>
                <w:highlight w:val="none"/>
              </w:rPr>
              <w:t>《福建省城市园林绿地养护质量标准》中的二级管理标准</w:t>
            </w:r>
          </w:p>
        </w:tc>
        <w:tc>
          <w:tcPr>
            <w:tcW w:w="2924" w:type="dxa"/>
            <w:tcBorders>
              <w:top w:val="nil"/>
              <w:left w:val="nil"/>
              <w:bottom w:val="single" w:color="000000" w:sz="4" w:space="0"/>
              <w:right w:val="single" w:color="000000" w:sz="4" w:space="0"/>
            </w:tcBorders>
            <w:tcMar>
              <w:top w:w="0" w:type="dxa"/>
              <w:left w:w="60" w:type="dxa"/>
              <w:bottom w:w="0" w:type="dxa"/>
              <w:right w:w="60" w:type="dxa"/>
            </w:tcMar>
          </w:tcPr>
          <w:p w14:paraId="20FAF79D">
            <w:pPr>
              <w:pStyle w:val="6"/>
              <w:ind w:firstLine="380"/>
              <w:jc w:val="center"/>
              <w:rPr>
                <w:rFonts w:hint="default"/>
                <w:bCs/>
                <w:color w:val="auto"/>
                <w:highlight w:val="none"/>
              </w:rPr>
            </w:pPr>
            <w:r>
              <w:rPr>
                <w:rFonts w:ascii="宋体" w:hAnsi="宋体" w:eastAsia="宋体" w:cs="宋体"/>
                <w:bCs/>
                <w:color w:val="auto"/>
                <w:sz w:val="24"/>
                <w:highlight w:val="none"/>
              </w:rPr>
              <w:t>1、园区如有节日摆花，中标人应按采购人的方案要求进行。苗木与小品制作费用由中标人上报签证，采购人随机选择第三方咨询单位进行审核，以审核后金额为准支付(相关费用不包含在本次项目费用中)。</w:t>
            </w:r>
          </w:p>
          <w:p w14:paraId="651CE0B5">
            <w:pPr>
              <w:pStyle w:val="6"/>
              <w:ind w:firstLine="380"/>
              <w:jc w:val="both"/>
              <w:rPr>
                <w:rFonts w:hint="default"/>
                <w:bCs/>
                <w:color w:val="auto"/>
                <w:highlight w:val="none"/>
              </w:rPr>
            </w:pPr>
            <w:r>
              <w:rPr>
                <w:rFonts w:ascii="宋体" w:hAnsi="宋体" w:eastAsia="宋体" w:cs="宋体"/>
                <w:bCs/>
                <w:color w:val="auto"/>
                <w:sz w:val="24"/>
                <w:highlight w:val="none"/>
              </w:rPr>
              <w:t>2、公园节日摆花养护工作由中标人负责，费用不另予计算。</w:t>
            </w:r>
          </w:p>
        </w:tc>
      </w:tr>
      <w:tr w14:paraId="469295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vMerge w:val="continue"/>
            <w:tcBorders>
              <w:top w:val="nil"/>
              <w:left w:val="single" w:color="000000" w:sz="4" w:space="0"/>
              <w:bottom w:val="outset" w:color="000000" w:sz="4" w:space="0"/>
              <w:right w:val="single" w:color="000000" w:sz="4" w:space="0"/>
            </w:tcBorders>
            <w:vAlign w:val="center"/>
          </w:tcPr>
          <w:p w14:paraId="1150A4C2">
            <w:pPr>
              <w:jc w:val="center"/>
              <w:rPr>
                <w:bCs/>
                <w:color w:val="auto"/>
                <w:highlight w:val="none"/>
              </w:rPr>
            </w:pPr>
          </w:p>
        </w:tc>
        <w:tc>
          <w:tcPr>
            <w:tcW w:w="739" w:type="dxa"/>
            <w:vMerge w:val="continue"/>
            <w:tcBorders>
              <w:top w:val="nil"/>
              <w:left w:val="nil"/>
              <w:bottom w:val="outset" w:color="000000" w:sz="4" w:space="0"/>
              <w:right w:val="single" w:color="000000" w:sz="4" w:space="0"/>
            </w:tcBorders>
            <w:vAlign w:val="center"/>
          </w:tcPr>
          <w:p w14:paraId="043206A6">
            <w:pPr>
              <w:jc w:val="center"/>
              <w:rPr>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4F539C47">
            <w:pPr>
              <w:pStyle w:val="6"/>
              <w:ind w:firstLine="380"/>
              <w:jc w:val="center"/>
              <w:rPr>
                <w:rFonts w:hint="default"/>
                <w:bCs/>
                <w:color w:val="auto"/>
                <w:highlight w:val="none"/>
              </w:rPr>
            </w:pPr>
            <w:r>
              <w:rPr>
                <w:rFonts w:ascii="宋体" w:hAnsi="宋体" w:eastAsia="宋体" w:cs="宋体"/>
                <w:bCs/>
                <w:color w:val="auto"/>
                <w:sz w:val="24"/>
                <w:highlight w:val="none"/>
              </w:rPr>
              <w:t>草花播种</w:t>
            </w:r>
          </w:p>
        </w:tc>
        <w:tc>
          <w:tcPr>
            <w:tcW w:w="2201" w:type="dxa"/>
            <w:vMerge w:val="continue"/>
            <w:tcBorders>
              <w:top w:val="nil"/>
              <w:left w:val="nil"/>
              <w:bottom w:val="outset" w:color="000000" w:sz="4" w:space="0"/>
              <w:right w:val="single" w:color="000000" w:sz="4" w:space="0"/>
            </w:tcBorders>
            <w:vAlign w:val="center"/>
          </w:tcPr>
          <w:p w14:paraId="2216AE53">
            <w:pPr>
              <w:jc w:val="center"/>
              <w:rPr>
                <w:bCs/>
                <w:color w:val="auto"/>
                <w:highlight w:val="none"/>
              </w:rPr>
            </w:pPr>
          </w:p>
        </w:tc>
        <w:tc>
          <w:tcPr>
            <w:tcW w:w="2924" w:type="dxa"/>
            <w:tcBorders>
              <w:top w:val="nil"/>
              <w:left w:val="nil"/>
              <w:bottom w:val="single" w:color="000000" w:sz="4" w:space="0"/>
              <w:right w:val="single" w:color="000000" w:sz="4" w:space="0"/>
            </w:tcBorders>
            <w:tcMar>
              <w:top w:w="0" w:type="dxa"/>
              <w:left w:w="60" w:type="dxa"/>
              <w:bottom w:w="0" w:type="dxa"/>
              <w:right w:w="60" w:type="dxa"/>
            </w:tcMar>
          </w:tcPr>
          <w:p w14:paraId="0B916860">
            <w:pPr>
              <w:pStyle w:val="6"/>
              <w:ind w:firstLine="380"/>
              <w:rPr>
                <w:rFonts w:hint="default"/>
                <w:bCs/>
                <w:color w:val="auto"/>
                <w:highlight w:val="none"/>
              </w:rPr>
            </w:pPr>
            <w:r>
              <w:rPr>
                <w:rFonts w:ascii="宋体" w:hAnsi="宋体" w:eastAsia="宋体" w:cs="宋体"/>
                <w:bCs/>
                <w:color w:val="auto"/>
                <w:sz w:val="24"/>
                <w:highlight w:val="none"/>
              </w:rPr>
              <w:t>园区如有草花播种，中标人应按采购人的方案要求进行播种、育种、养护等。种子费用由采购人提供，其他费用不另予计算。</w:t>
            </w:r>
          </w:p>
        </w:tc>
      </w:tr>
      <w:tr w14:paraId="4BF0B6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center"/>
          </w:tcPr>
          <w:p w14:paraId="5C8CD40A">
            <w:pPr>
              <w:pStyle w:val="6"/>
              <w:jc w:val="center"/>
              <w:rPr>
                <w:rFonts w:hint="default"/>
                <w:bCs/>
                <w:color w:val="auto"/>
                <w:highlight w:val="none"/>
              </w:rPr>
            </w:pPr>
            <w:r>
              <w:rPr>
                <w:rFonts w:ascii="宋体" w:hAnsi="宋体" w:eastAsia="宋体" w:cs="宋体"/>
                <w:bCs/>
                <w:color w:val="auto"/>
                <w:sz w:val="24"/>
                <w:highlight w:val="none"/>
              </w:rPr>
              <w:t>★6</w:t>
            </w:r>
          </w:p>
        </w:tc>
        <w:tc>
          <w:tcPr>
            <w:tcW w:w="73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23145F90">
            <w:pPr>
              <w:pStyle w:val="6"/>
              <w:ind w:firstLine="380"/>
              <w:jc w:val="center"/>
              <w:rPr>
                <w:rFonts w:hint="default"/>
                <w:bCs/>
                <w:color w:val="auto"/>
                <w:highlight w:val="none"/>
              </w:rPr>
            </w:pPr>
          </w:p>
        </w:tc>
        <w:tc>
          <w:tcPr>
            <w:tcW w:w="1809" w:type="dxa"/>
            <w:tcBorders>
              <w:top w:val="nil"/>
              <w:left w:val="nil"/>
              <w:bottom w:val="single" w:color="000000" w:sz="4" w:space="0"/>
              <w:right w:val="single" w:color="000000" w:sz="4" w:space="0"/>
            </w:tcBorders>
            <w:tcMar>
              <w:top w:w="0" w:type="dxa"/>
              <w:left w:w="60" w:type="dxa"/>
              <w:bottom w:w="0" w:type="dxa"/>
              <w:right w:w="60" w:type="dxa"/>
            </w:tcMar>
            <w:vAlign w:val="center"/>
          </w:tcPr>
          <w:p w14:paraId="10861111">
            <w:pPr>
              <w:pStyle w:val="6"/>
              <w:jc w:val="center"/>
              <w:rPr>
                <w:rFonts w:hint="default"/>
                <w:bCs/>
                <w:color w:val="auto"/>
                <w:highlight w:val="none"/>
              </w:rPr>
            </w:pPr>
            <w:r>
              <w:rPr>
                <w:rFonts w:ascii="宋体" w:hAnsi="宋体" w:eastAsia="宋体" w:cs="宋体"/>
                <w:bCs/>
                <w:color w:val="auto"/>
                <w:sz w:val="24"/>
                <w:highlight w:val="none"/>
              </w:rPr>
              <w:t>其他任务</w:t>
            </w:r>
          </w:p>
        </w:tc>
        <w:tc>
          <w:tcPr>
            <w:tcW w:w="2201" w:type="dxa"/>
            <w:tcBorders>
              <w:top w:val="nil"/>
              <w:left w:val="nil"/>
              <w:bottom w:val="single" w:color="000000" w:sz="4" w:space="0"/>
              <w:right w:val="single" w:color="000000" w:sz="4" w:space="0"/>
            </w:tcBorders>
            <w:tcMar>
              <w:top w:w="0" w:type="dxa"/>
              <w:left w:w="60" w:type="dxa"/>
              <w:bottom w:w="0" w:type="dxa"/>
              <w:right w:w="60" w:type="dxa"/>
            </w:tcMar>
            <w:vAlign w:val="center"/>
          </w:tcPr>
          <w:p w14:paraId="7FB84989">
            <w:pPr>
              <w:pStyle w:val="6"/>
              <w:jc w:val="center"/>
              <w:rPr>
                <w:rFonts w:hint="default"/>
                <w:bCs/>
                <w:color w:val="auto"/>
                <w:highlight w:val="none"/>
              </w:rPr>
            </w:pPr>
          </w:p>
        </w:tc>
        <w:tc>
          <w:tcPr>
            <w:tcW w:w="2924" w:type="dxa"/>
            <w:tcBorders>
              <w:top w:val="nil"/>
              <w:left w:val="nil"/>
              <w:bottom w:val="single" w:color="000000" w:sz="4" w:space="0"/>
              <w:right w:val="single" w:color="000000" w:sz="4" w:space="0"/>
            </w:tcBorders>
            <w:tcMar>
              <w:top w:w="0" w:type="dxa"/>
              <w:left w:w="60" w:type="dxa"/>
              <w:bottom w:w="0" w:type="dxa"/>
              <w:right w:w="60" w:type="dxa"/>
            </w:tcMar>
          </w:tcPr>
          <w:p w14:paraId="55DE2230">
            <w:pPr>
              <w:pStyle w:val="6"/>
              <w:ind w:firstLine="480" w:firstLineChars="200"/>
              <w:rPr>
                <w:rFonts w:hint="default" w:ascii="宋体" w:hAnsi="宋体" w:eastAsia="宋体" w:cs="宋体"/>
                <w:bCs/>
                <w:color w:val="auto"/>
                <w:sz w:val="24"/>
                <w:highlight w:val="none"/>
              </w:rPr>
            </w:pPr>
            <w:r>
              <w:rPr>
                <w:rFonts w:ascii="宋体" w:hAnsi="宋体" w:eastAsia="宋体" w:cs="宋体"/>
                <w:bCs/>
                <w:color w:val="auto"/>
                <w:sz w:val="24"/>
                <w:highlight w:val="none"/>
              </w:rPr>
              <w:t>①中标人需根据采购人工作安排及需求，每年向采购人提供并种植10000颗郁金香种球，养护工作由中标人负责</w:t>
            </w:r>
            <w:r>
              <w:rPr>
                <w:rFonts w:ascii="宋体" w:hAnsi="宋体" w:eastAsia="宋体" w:cs="宋体"/>
                <w:bCs/>
                <w:color w:val="auto"/>
                <w:sz w:val="24"/>
                <w:highlight w:val="none"/>
                <w:lang w:eastAsia="zh-CN"/>
              </w:rPr>
              <w:t>，</w:t>
            </w:r>
            <w:r>
              <w:rPr>
                <w:rFonts w:ascii="宋体" w:hAnsi="宋体" w:eastAsia="宋体" w:cs="宋体"/>
                <w:bCs/>
                <w:color w:val="auto"/>
                <w:sz w:val="24"/>
                <w:highlight w:val="none"/>
              </w:rPr>
              <w:t>所产生的费用包含在投标总价中</w:t>
            </w:r>
            <w:r>
              <w:rPr>
                <w:rFonts w:ascii="宋体" w:hAnsi="宋体" w:eastAsia="宋体" w:cs="宋体"/>
                <w:bCs/>
                <w:color w:val="auto"/>
                <w:sz w:val="24"/>
                <w:highlight w:val="none"/>
                <w:shd w:val="clear" w:color="auto" w:fill="FFFFFF"/>
              </w:rPr>
              <w:t>。</w:t>
            </w:r>
          </w:p>
          <w:p w14:paraId="01576DFC">
            <w:pPr>
              <w:pStyle w:val="6"/>
              <w:ind w:firstLine="480" w:firstLineChars="200"/>
              <w:rPr>
                <w:rFonts w:hint="default"/>
                <w:bCs/>
                <w:color w:val="auto"/>
                <w:highlight w:val="none"/>
              </w:rPr>
            </w:pPr>
            <w:r>
              <w:rPr>
                <w:rFonts w:ascii="宋体" w:hAnsi="宋体" w:eastAsia="宋体" w:cs="宋体"/>
                <w:bCs/>
                <w:color w:val="auto"/>
                <w:sz w:val="24"/>
                <w:highlight w:val="none"/>
              </w:rPr>
              <w:t>②中标人需服从采购人其他任务安排，每个考核年度不超过100个工日，所产生的费用包含在投标总价中；</w:t>
            </w:r>
          </w:p>
          <w:p w14:paraId="35B1060D">
            <w:pPr>
              <w:pStyle w:val="6"/>
              <w:ind w:firstLine="380"/>
              <w:rPr>
                <w:rFonts w:hint="default"/>
                <w:bCs/>
                <w:color w:val="auto"/>
                <w:highlight w:val="none"/>
              </w:rPr>
            </w:pPr>
            <w:r>
              <w:rPr>
                <w:rFonts w:ascii="宋体" w:hAnsi="宋体" w:eastAsia="宋体" w:cs="宋体"/>
                <w:bCs/>
                <w:color w:val="auto"/>
                <w:sz w:val="24"/>
                <w:highlight w:val="none"/>
              </w:rPr>
              <w:t>③增派人员或加班情况，按每人2</w:t>
            </w:r>
            <w:r>
              <w:rPr>
                <w:rFonts w:hint="default" w:ascii="宋体" w:hAnsi="宋体" w:eastAsia="宋体" w:cs="宋体"/>
                <w:bCs/>
                <w:color w:val="auto"/>
                <w:sz w:val="24"/>
                <w:highlight w:val="none"/>
              </w:rPr>
              <w:t>1</w:t>
            </w:r>
            <w:r>
              <w:rPr>
                <w:rFonts w:ascii="宋体" w:hAnsi="宋体" w:eastAsia="宋体" w:cs="宋体"/>
                <w:bCs/>
                <w:color w:val="auto"/>
                <w:sz w:val="24"/>
                <w:highlight w:val="none"/>
              </w:rPr>
              <w:t>元/小时标准核计。</w:t>
            </w:r>
            <w:r>
              <w:rPr>
                <w:rFonts w:ascii="宋体" w:hAnsi="宋体" w:eastAsia="宋体" w:cs="宋体"/>
                <w:b/>
                <w:color w:val="auto"/>
                <w:sz w:val="24"/>
                <w:highlight w:val="none"/>
              </w:rPr>
              <w:t>（投标时需要单独提供上述针对第①点</w:t>
            </w:r>
            <w:r>
              <w:rPr>
                <w:rFonts w:ascii="宋体" w:hAnsi="宋体" w:eastAsia="宋体" w:cs="宋体"/>
                <w:b/>
                <w:color w:val="auto"/>
                <w:sz w:val="24"/>
                <w:highlight w:val="none"/>
                <w:lang w:eastAsia="zh-CN"/>
              </w:rPr>
              <w:t>、</w:t>
            </w:r>
            <w:r>
              <w:rPr>
                <w:rFonts w:ascii="宋体" w:hAnsi="宋体" w:eastAsia="宋体" w:cs="宋体"/>
                <w:b/>
                <w:color w:val="auto"/>
                <w:sz w:val="24"/>
                <w:highlight w:val="none"/>
              </w:rPr>
              <w:t>第②</w:t>
            </w:r>
            <w:r>
              <w:rPr>
                <w:rFonts w:ascii="宋体" w:hAnsi="宋体" w:eastAsia="宋体" w:cs="宋体"/>
                <w:b/>
                <w:color w:val="auto"/>
                <w:sz w:val="24"/>
                <w:highlight w:val="none"/>
                <w:lang w:eastAsia="zh-CN"/>
              </w:rPr>
              <w:t>、</w:t>
            </w:r>
            <w:r>
              <w:rPr>
                <w:rFonts w:ascii="宋体" w:hAnsi="宋体" w:eastAsia="宋体" w:cs="宋体"/>
                <w:b/>
                <w:color w:val="auto"/>
                <w:sz w:val="24"/>
                <w:highlight w:val="none"/>
              </w:rPr>
              <w:t>第③点的承诺函，否则按无效投标处理）</w:t>
            </w:r>
          </w:p>
        </w:tc>
      </w:tr>
    </w:tbl>
    <w:p w14:paraId="171A379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★序号7：</w:t>
      </w:r>
      <w:r>
        <w:rPr>
          <w:rFonts w:hint="eastAsia" w:ascii="宋体" w:hAnsi="宋体" w:eastAsia="宋体" w:cs="宋体"/>
          <w:sz w:val="24"/>
          <w:szCs w:val="24"/>
          <w:shd w:val="clear" w:fill="FFFFFF"/>
        </w:rPr>
        <w:t>抢险救灾：</w:t>
      </w:r>
      <w:r>
        <w:rPr>
          <w:rFonts w:hint="eastAsia" w:ascii="宋体" w:hAnsi="宋体" w:eastAsia="宋体" w:cs="宋体"/>
          <w:sz w:val="24"/>
          <w:szCs w:val="24"/>
        </w:rPr>
        <w:t>如遇突击性工作任务时，中标人应积极支持配合采购人工作。在台风等重大自然灾害期间的抢险救灾任务时，中标人须承诺现场抢险须满足但不限于以下设备</w:t>
      </w:r>
      <w:r>
        <w:rPr>
          <w:rFonts w:hint="eastAsia" w:ascii="宋体" w:hAnsi="宋体" w:eastAsia="宋体" w:cs="宋体"/>
          <w:b/>
          <w:sz w:val="24"/>
          <w:szCs w:val="24"/>
        </w:rPr>
        <w:t>（投标时需要单独提供承诺函，否则按无效投标处理。）</w:t>
      </w:r>
    </w:p>
    <w:p w14:paraId="027C2607">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(1)抢险人数不少于60人；</w:t>
      </w:r>
    </w:p>
    <w:p w14:paraId="0796B81B">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(2)2.5T及以上的垃圾清运车不少于5辆；</w:t>
      </w:r>
    </w:p>
    <w:p w14:paraId="5B808C8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(3)油锯不少于10把；</w:t>
      </w:r>
    </w:p>
    <w:p w14:paraId="61B14C8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(4)抽水泵不少于6台；</w:t>
      </w:r>
    </w:p>
    <w:p w14:paraId="272B24AE">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(5)发电机不少于4台；</w:t>
      </w:r>
    </w:p>
    <w:p w14:paraId="7ECFF379">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(6)高空修剪车不少于1辆；</w:t>
      </w:r>
    </w:p>
    <w:p w14:paraId="4784194D">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(7)吊车不少于3辆。</w:t>
      </w:r>
    </w:p>
    <w:p w14:paraId="4C6ED0A6">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如在抢险救灾时未及时响应采购人要求，</w:t>
      </w:r>
      <w:r>
        <w:rPr>
          <w:rFonts w:hint="eastAsia" w:ascii="宋体" w:hAnsi="宋体" w:eastAsia="宋体" w:cs="宋体"/>
          <w:sz w:val="24"/>
          <w:szCs w:val="24"/>
        </w:rPr>
        <w:t>采购人有权视情况进行扣款处罚，人员按每次500元/人，机械按每次1000元/件，车辆按每次3000元/辆进行扣款，在当月养护费中直接扣除并在当期考核周期中进行扣分。</w:t>
      </w:r>
    </w:p>
    <w:p w14:paraId="54E0F8D8">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序号8：</w:t>
      </w:r>
      <w:r>
        <w:rPr>
          <w:rFonts w:hint="eastAsia" w:ascii="宋体" w:hAnsi="宋体" w:eastAsia="宋体" w:cs="宋体"/>
          <w:sz w:val="24"/>
          <w:szCs w:val="24"/>
          <w:shd w:val="clear" w:fill="FFFFFF"/>
        </w:rPr>
        <w:t>安全责任：中标人必须重视安全生产，确保不出安全责任事故。养护期间，养护工人由于操作不规范等因素造成的安全责任事故，由中标人承担一切责任。若采购人先行垫付的，采购人有权抵扣中标人的绿化养护费，若养护费不足以偿还的，采购人可向中标人继续追偿。</w:t>
      </w:r>
    </w:p>
    <w:p w14:paraId="2747864C">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序号9：</w:t>
      </w:r>
      <w:r>
        <w:rPr>
          <w:rFonts w:hint="eastAsia" w:ascii="宋体" w:hAnsi="宋体" w:eastAsia="宋体" w:cs="宋体"/>
          <w:sz w:val="24"/>
          <w:szCs w:val="24"/>
          <w:shd w:val="clear" w:fill="FFFFFF"/>
        </w:rPr>
        <w:t>植保工作：白蚁防治、薇甘菊等(除红火蚁外)外来检疫性有害生物的清理和防治的费用由中标人负责。</w:t>
      </w:r>
    </w:p>
    <w:p w14:paraId="4724EBF1">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序号10：</w:t>
      </w:r>
      <w:r>
        <w:rPr>
          <w:rFonts w:hint="eastAsia" w:ascii="宋体" w:hAnsi="宋体" w:eastAsia="宋体" w:cs="宋体"/>
          <w:sz w:val="24"/>
          <w:szCs w:val="24"/>
          <w:shd w:val="clear" w:fill="FFFFFF"/>
        </w:rPr>
        <w:t>隐蔽签证：中标方负责大树安全隐患的排查及处置工作。大树修剪、施肥及农药的使用需经采购人同意，并做好签证。</w:t>
      </w:r>
    </w:p>
    <w:p w14:paraId="500CD41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序号11：</w:t>
      </w:r>
      <w:r>
        <w:rPr>
          <w:rFonts w:hint="eastAsia" w:ascii="宋体" w:hAnsi="宋体" w:eastAsia="宋体" w:cs="宋体"/>
          <w:sz w:val="24"/>
          <w:szCs w:val="24"/>
          <w:shd w:val="clear" w:fill="FFFFFF"/>
        </w:rPr>
        <w:t>服务范围内的绿化养护工作，中标人根据双方合同规定的职位及人数向公园派驻足够的养护服务人员，提供合同规定的服务内容。所有员工的招聘、录／退用由中标人负责。中标人在正式进场前7天，需将派遣员工的资料交采购人报备。无特殊原因不得擅自改动,确需改动,要征求采购人确认后方可进行。派遣员工的通讯方法和联络地址应明确告知采购人。未经采购人通知和同意，中标人不得随意更改上班作息时间和调换增减所属员工。</w:t>
      </w:r>
    </w:p>
    <w:p w14:paraId="2647386E">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（二）对人员的要求:</w:t>
      </w:r>
    </w:p>
    <w:p w14:paraId="0129E5A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序号12：</w:t>
      </w:r>
      <w:r>
        <w:rPr>
          <w:rFonts w:hint="eastAsia" w:ascii="宋体" w:hAnsi="宋体" w:eastAsia="宋体" w:cs="宋体"/>
          <w:sz w:val="24"/>
          <w:szCs w:val="24"/>
          <w:shd w:val="clear" w:fill="FFFFFF"/>
        </w:rPr>
        <w:t>服务范围内的绿化养护工作，中标人根据双方合同规定的职位及人数向公园派驻足够的养护服务人员，提供合同规定的服务内容。所有员工的招聘、录／退用由中标人负责。</w:t>
      </w:r>
    </w:p>
    <w:p w14:paraId="59A7172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序号13：</w:t>
      </w:r>
      <w:r>
        <w:rPr>
          <w:rFonts w:hint="eastAsia" w:ascii="宋体" w:hAnsi="宋体" w:eastAsia="宋体" w:cs="宋体"/>
          <w:sz w:val="24"/>
          <w:szCs w:val="24"/>
          <w:shd w:val="clear" w:fill="FFFFFF"/>
        </w:rPr>
        <w:t>中标人在正式进场前7天，需将派遣员工的资料交采购人报备。无特殊原因不得擅自改动,确需改动,要征求采购人确认后方可进行。派遣员工的通讯方法和联络地址应明确告知采购人。未经采购人通知和同意，中标人不得随意更改上班作息时间和调换增减所属员工。</w:t>
      </w:r>
    </w:p>
    <w:p w14:paraId="60DA5702">
      <w:pPr>
        <w:pStyle w:val="6"/>
        <w:keepNext w:val="0"/>
        <w:keepLines w:val="0"/>
        <w:pageBreakBefore w:val="0"/>
        <w:kinsoku/>
        <w:wordWrap/>
        <w:overflowPunct/>
        <w:topLinePunct w:val="0"/>
        <w:autoSpaceDE/>
        <w:autoSpaceDN/>
        <w:bidi w:val="0"/>
        <w:adjustRightInd w:val="0"/>
        <w:snapToGrid w:val="0"/>
        <w:spacing w:line="240" w:lineRule="auto"/>
        <w:ind w:left="0" w:firstLine="345"/>
        <w:textAlignment w:val="auto"/>
        <w:rPr>
          <w:rFonts w:hint="eastAsia" w:ascii="宋体" w:hAnsi="宋体" w:eastAsia="宋体" w:cs="宋体"/>
          <w:sz w:val="24"/>
          <w:szCs w:val="24"/>
        </w:rPr>
      </w:pPr>
      <w:r>
        <w:rPr>
          <w:rFonts w:hint="eastAsia" w:ascii="宋体" w:hAnsi="宋体" w:eastAsia="宋体" w:cs="宋体"/>
          <w:sz w:val="24"/>
          <w:szCs w:val="24"/>
        </w:rPr>
        <w:t>序号14：</w:t>
      </w:r>
      <w:r>
        <w:rPr>
          <w:rFonts w:hint="eastAsia" w:ascii="宋体" w:hAnsi="宋体" w:eastAsia="宋体" w:cs="宋体"/>
          <w:sz w:val="24"/>
          <w:szCs w:val="24"/>
          <w:shd w:val="clear" w:fill="FFFFFF"/>
        </w:rPr>
        <w:t>所有人员的岗位配备，由中标人负责提供详细说明计划，必须以报告形式告知采购人，中标人所派遣所有人员必须经过采购人认定后才能进场。日常养护中标人每天到岗不少于32人（到岗人员含项目负责人、水电工、专业技术人员、作业人员等）。工作时间为8 小时/天。</w:t>
      </w:r>
      <w:r>
        <w:rPr>
          <w:rFonts w:hint="eastAsia" w:ascii="宋体" w:hAnsi="宋体" w:eastAsia="宋体" w:cs="宋体"/>
          <w:sz w:val="24"/>
          <w:szCs w:val="24"/>
        </w:rPr>
        <w:t>如未按要求到岗，采购人有权视情况按500-2000元/人次进行扣款，并在当期考核周期中进行扣分。</w:t>
      </w:r>
    </w:p>
    <w:p w14:paraId="01AEDEF8">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序号15：</w:t>
      </w:r>
      <w:r>
        <w:rPr>
          <w:rFonts w:hint="eastAsia" w:ascii="宋体" w:hAnsi="宋体" w:eastAsia="宋体" w:cs="宋体"/>
          <w:sz w:val="24"/>
          <w:szCs w:val="24"/>
          <w:shd w:val="clear" w:fill="FFFFFF"/>
        </w:rPr>
        <w:t>项目负责人、技术主管、班长应为园林绿化从业人员，要求作业人员中应有20名以上（含20名)具体3年以上绿化养护工作经验，</w:t>
      </w:r>
      <w:r>
        <w:rPr>
          <w:rFonts w:hint="eastAsia" w:ascii="宋体" w:hAnsi="宋体" w:eastAsia="宋体" w:cs="宋体"/>
          <w:b/>
          <w:sz w:val="24"/>
          <w:szCs w:val="24"/>
          <w:shd w:val="clear" w:fill="FFFFFF"/>
        </w:rPr>
        <w:t>投标文件中需针对上述内容提供承诺函。</w:t>
      </w:r>
    </w:p>
    <w:p w14:paraId="7AFBA8A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序号16：</w:t>
      </w:r>
      <w:r>
        <w:rPr>
          <w:rFonts w:hint="eastAsia" w:ascii="宋体" w:hAnsi="宋体" w:eastAsia="宋体" w:cs="宋体"/>
          <w:sz w:val="24"/>
          <w:szCs w:val="24"/>
          <w:shd w:val="clear" w:fill="FFFFFF"/>
        </w:rPr>
        <w:t>中标后，采购人对承诺派驻人员的相关证件进行复核，确认其真实性，如有使用虚假证件的，采购人有权取消合同，并没收履约保证金；</w:t>
      </w:r>
    </w:p>
    <w:p w14:paraId="74A26BD7">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序号17：</w:t>
      </w:r>
      <w:r>
        <w:rPr>
          <w:rFonts w:hint="eastAsia" w:ascii="宋体" w:hAnsi="宋体" w:eastAsia="宋体" w:cs="宋体"/>
          <w:sz w:val="24"/>
          <w:szCs w:val="24"/>
          <w:shd w:val="clear" w:fill="FFFFFF"/>
        </w:rPr>
        <w:t>承诺派驻人员要保持稳定，至少服务六个月以上；</w:t>
      </w:r>
    </w:p>
    <w:p w14:paraId="1598BDE7">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序号18：</w:t>
      </w:r>
      <w:r>
        <w:rPr>
          <w:rFonts w:hint="eastAsia" w:ascii="宋体" w:hAnsi="宋体" w:eastAsia="宋体" w:cs="宋体"/>
          <w:sz w:val="24"/>
          <w:szCs w:val="24"/>
          <w:shd w:val="clear" w:fill="FFFFFF"/>
        </w:rPr>
        <w:t>更换派驻人员必须征得采购人的同意，派驻时间达不到六个月的，中标人需赔偿采购人损失：主要管理负责人1万元；主要技术负责人1万元；班长1000-3000元，其他作业人员1000-2000元。</w:t>
      </w:r>
    </w:p>
    <w:p w14:paraId="0DCC4DDD">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序号19：</w:t>
      </w:r>
      <w:r>
        <w:rPr>
          <w:rFonts w:hint="eastAsia" w:ascii="宋体" w:hAnsi="宋体" w:eastAsia="宋体" w:cs="宋体"/>
          <w:sz w:val="24"/>
          <w:szCs w:val="24"/>
          <w:shd w:val="clear" w:fill="FFFFFF"/>
        </w:rPr>
        <w:t>派驻人员需服从采购人的管理，如派驻人员不能配合采购人开展工作，或给采购人造成不良影响的，采购人有权要求更换派驻人员，且不减免人员更换的赔偿费用。</w:t>
      </w:r>
    </w:p>
    <w:p w14:paraId="64438BD3">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序号20：</w:t>
      </w:r>
      <w:r>
        <w:rPr>
          <w:rFonts w:hint="eastAsia" w:ascii="宋体" w:hAnsi="宋体" w:eastAsia="宋体" w:cs="宋体"/>
          <w:sz w:val="24"/>
          <w:szCs w:val="24"/>
          <w:shd w:val="clear" w:fill="FFFFFF"/>
        </w:rPr>
        <w:t>关于人员更换的事宜，均以书面通知或书面申请为准。</w:t>
      </w:r>
    </w:p>
    <w:p w14:paraId="6EFE206D">
      <w:pPr>
        <w:pStyle w:val="6"/>
        <w:keepNext w:val="0"/>
        <w:keepLines w:val="0"/>
        <w:pageBreakBefore w:val="0"/>
        <w:kinsoku/>
        <w:wordWrap/>
        <w:overflowPunct/>
        <w:topLinePunct w:val="0"/>
        <w:autoSpaceDE/>
        <w:autoSpaceDN/>
        <w:bidi w:val="0"/>
        <w:adjustRightInd w:val="0"/>
        <w:snapToGrid w:val="0"/>
        <w:spacing w:line="240" w:lineRule="auto"/>
        <w:ind w:left="0" w:firstLine="345"/>
        <w:textAlignment w:val="auto"/>
        <w:rPr>
          <w:rFonts w:hint="eastAsia" w:ascii="宋体" w:hAnsi="宋体" w:eastAsia="宋体" w:cs="宋体"/>
          <w:sz w:val="24"/>
          <w:szCs w:val="24"/>
        </w:rPr>
      </w:pPr>
      <w:r>
        <w:rPr>
          <w:rFonts w:hint="eastAsia" w:ascii="宋体" w:hAnsi="宋体" w:eastAsia="宋体" w:cs="宋体"/>
          <w:sz w:val="24"/>
          <w:szCs w:val="24"/>
        </w:rPr>
        <w:t>序号21：</w:t>
      </w:r>
      <w:r>
        <w:rPr>
          <w:rFonts w:hint="eastAsia" w:ascii="宋体" w:hAnsi="宋体" w:eastAsia="宋体" w:cs="宋体"/>
          <w:sz w:val="24"/>
          <w:szCs w:val="24"/>
          <w:shd w:val="clear" w:fill="FFFFFF"/>
        </w:rPr>
        <w:t>中标人的员工公假、事假、病假以及所有假期劳动争议、纠纷均由中标人负责。中标人员工如有任何假期，中标人必须保证养护人员应满足状态，要及时派人补充。如遇任务繁重或特殊气候要求（强台风、特大暴雨等）需要突击性完成工作任务时，投标人应服从采购人有关人员指挥，并按采购人要求增加人力或延长工作时间以保证工作按质按量按时完成，费用另计。</w:t>
      </w:r>
    </w:p>
    <w:p w14:paraId="38FE466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★序号22：</w:t>
      </w:r>
      <w:r>
        <w:rPr>
          <w:rFonts w:hint="eastAsia" w:ascii="宋体" w:hAnsi="宋体" w:eastAsia="宋体" w:cs="宋体"/>
          <w:sz w:val="24"/>
          <w:szCs w:val="24"/>
          <w:shd w:val="clear" w:fill="FFFFFF"/>
        </w:rPr>
        <w:t>中标人必须办理派驻人员的人身意外保险，并提供相应资料供采购人查验。</w:t>
      </w:r>
      <w:r>
        <w:rPr>
          <w:rFonts w:hint="eastAsia" w:ascii="宋体" w:hAnsi="宋体" w:eastAsia="宋体" w:cs="宋体"/>
          <w:b/>
          <w:sz w:val="24"/>
          <w:szCs w:val="24"/>
        </w:rPr>
        <w:t>投标人须提供承诺函，否则按无效投标处理。</w:t>
      </w:r>
    </w:p>
    <w:p w14:paraId="4A6074D5">
      <w:pPr>
        <w:pStyle w:val="6"/>
        <w:keepNext w:val="0"/>
        <w:keepLines w:val="0"/>
        <w:pageBreakBefore w:val="0"/>
        <w:kinsoku/>
        <w:wordWrap/>
        <w:overflowPunct/>
        <w:topLinePunct w:val="0"/>
        <w:autoSpaceDE/>
        <w:autoSpaceDN/>
        <w:bidi w:val="0"/>
        <w:adjustRightInd w:val="0"/>
        <w:snapToGrid w:val="0"/>
        <w:spacing w:line="240" w:lineRule="auto"/>
        <w:ind w:left="0" w:firstLine="345"/>
        <w:textAlignment w:val="auto"/>
        <w:rPr>
          <w:rFonts w:hint="eastAsia" w:ascii="宋体" w:hAnsi="宋体" w:eastAsia="宋体" w:cs="宋体"/>
          <w:sz w:val="24"/>
          <w:szCs w:val="24"/>
        </w:rPr>
      </w:pPr>
      <w:r>
        <w:rPr>
          <w:rFonts w:hint="eastAsia" w:ascii="宋体" w:hAnsi="宋体" w:eastAsia="宋体" w:cs="宋体"/>
          <w:sz w:val="24"/>
          <w:szCs w:val="24"/>
        </w:rPr>
        <w:t>★序号23：本次采购项目所配备的人员年龄不得高于60岁,员工工资每人每月不得低于福州市最低工资标准，</w:t>
      </w:r>
      <w:r>
        <w:rPr>
          <w:rFonts w:hint="eastAsia" w:ascii="宋体" w:hAnsi="宋体" w:eastAsia="宋体" w:cs="宋体"/>
          <w:b/>
          <w:sz w:val="24"/>
          <w:szCs w:val="24"/>
        </w:rPr>
        <w:t>投标人须提供承诺函，否则按无效投标处理。</w:t>
      </w:r>
    </w:p>
    <w:p w14:paraId="044F7530">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（三）对工具物料的要求</w:t>
      </w:r>
    </w:p>
    <w:p w14:paraId="0C357211">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序号24：本项目鼓励中标人采用机械绿化作业。中标人必须按采购人的要求在现场存放一定品种、数量和完好能正常使用的工具、机械，</w:t>
      </w:r>
      <w:r>
        <w:rPr>
          <w:rFonts w:hint="eastAsia" w:ascii="宋体" w:hAnsi="宋体" w:eastAsia="宋体" w:cs="宋体"/>
          <w:sz w:val="24"/>
          <w:szCs w:val="24"/>
          <w:shd w:val="clear" w:fill="FFFFFF"/>
        </w:rPr>
        <w:t>包括背负式割草机</w:t>
      </w:r>
      <w:r>
        <w:rPr>
          <w:rFonts w:hint="eastAsia" w:ascii="宋体" w:hAnsi="宋体" w:eastAsia="宋体" w:cs="宋体"/>
          <w:sz w:val="24"/>
          <w:szCs w:val="24"/>
          <w:u w:val="single"/>
          <w:shd w:val="clear" w:fill="FFFFFF"/>
        </w:rPr>
        <w:t xml:space="preserve"> 10</w:t>
      </w:r>
      <w:r>
        <w:rPr>
          <w:rFonts w:hint="eastAsia" w:ascii="宋体" w:hAnsi="宋体" w:eastAsia="宋体" w:cs="宋体"/>
          <w:sz w:val="24"/>
          <w:szCs w:val="24"/>
          <w:shd w:val="clear" w:fill="FFFFFF"/>
        </w:rPr>
        <w:t>台及以上、草坪吹风机</w:t>
      </w:r>
      <w:r>
        <w:rPr>
          <w:rFonts w:hint="eastAsia" w:ascii="宋体" w:hAnsi="宋体" w:eastAsia="宋体" w:cs="宋体"/>
          <w:sz w:val="24"/>
          <w:szCs w:val="24"/>
          <w:u w:val="single"/>
          <w:shd w:val="clear" w:fill="FFFFFF"/>
        </w:rPr>
        <w:t>3</w:t>
      </w:r>
      <w:r>
        <w:rPr>
          <w:rFonts w:hint="eastAsia" w:ascii="宋体" w:hAnsi="宋体" w:eastAsia="宋体" w:cs="宋体"/>
          <w:sz w:val="24"/>
          <w:szCs w:val="24"/>
          <w:shd w:val="clear" w:fill="FFFFFF"/>
        </w:rPr>
        <w:t>台及以上、绿篱机</w:t>
      </w:r>
      <w:r>
        <w:rPr>
          <w:rFonts w:hint="eastAsia" w:ascii="宋体" w:hAnsi="宋体" w:eastAsia="宋体" w:cs="宋体"/>
          <w:sz w:val="24"/>
          <w:szCs w:val="24"/>
          <w:u w:val="single"/>
          <w:shd w:val="clear" w:fill="FFFFFF"/>
        </w:rPr>
        <w:t xml:space="preserve"> 5 </w:t>
      </w:r>
      <w:r>
        <w:rPr>
          <w:rFonts w:hint="eastAsia" w:ascii="宋体" w:hAnsi="宋体" w:eastAsia="宋体" w:cs="宋体"/>
          <w:sz w:val="24"/>
          <w:szCs w:val="24"/>
          <w:shd w:val="clear" w:fill="FFFFFF"/>
        </w:rPr>
        <w:t>台及以上、手推式高压喷药车</w:t>
      </w:r>
      <w:r>
        <w:rPr>
          <w:rFonts w:hint="eastAsia" w:ascii="宋体" w:hAnsi="宋体" w:eastAsia="宋体" w:cs="宋体"/>
          <w:sz w:val="24"/>
          <w:szCs w:val="24"/>
          <w:u w:val="single"/>
          <w:shd w:val="clear" w:fill="FFFFFF"/>
        </w:rPr>
        <w:t>1</w:t>
      </w:r>
      <w:r>
        <w:rPr>
          <w:rFonts w:hint="eastAsia" w:ascii="宋体" w:hAnsi="宋体" w:eastAsia="宋体" w:cs="宋体"/>
          <w:sz w:val="24"/>
          <w:szCs w:val="24"/>
          <w:shd w:val="clear" w:fill="FFFFFF"/>
        </w:rPr>
        <w:t>台、大油锯</w:t>
      </w:r>
      <w:r>
        <w:rPr>
          <w:rFonts w:hint="eastAsia" w:ascii="宋体" w:hAnsi="宋体" w:eastAsia="宋体" w:cs="宋体"/>
          <w:sz w:val="24"/>
          <w:szCs w:val="24"/>
          <w:u w:val="single"/>
          <w:shd w:val="clear" w:fill="FFFFFF"/>
        </w:rPr>
        <w:t>3</w:t>
      </w:r>
      <w:r>
        <w:rPr>
          <w:rFonts w:hint="eastAsia" w:ascii="宋体" w:hAnsi="宋体" w:eastAsia="宋体" w:cs="宋体"/>
          <w:sz w:val="24"/>
          <w:szCs w:val="24"/>
          <w:shd w:val="clear" w:fill="FFFFFF"/>
        </w:rPr>
        <w:t>把及以上、小油锯</w:t>
      </w:r>
      <w:r>
        <w:rPr>
          <w:rFonts w:hint="eastAsia" w:ascii="宋体" w:hAnsi="宋体" w:eastAsia="宋体" w:cs="宋体"/>
          <w:sz w:val="24"/>
          <w:szCs w:val="24"/>
          <w:u w:val="single"/>
          <w:shd w:val="clear" w:fill="FFFFFF"/>
        </w:rPr>
        <w:t>4</w:t>
      </w:r>
      <w:r>
        <w:rPr>
          <w:rFonts w:hint="eastAsia" w:ascii="宋体" w:hAnsi="宋体" w:eastAsia="宋体" w:cs="宋体"/>
          <w:sz w:val="24"/>
          <w:szCs w:val="24"/>
          <w:shd w:val="clear" w:fill="FFFFFF"/>
        </w:rPr>
        <w:t>把及以上、高枝油锯</w:t>
      </w:r>
      <w:r>
        <w:rPr>
          <w:rFonts w:hint="eastAsia" w:ascii="宋体" w:hAnsi="宋体" w:eastAsia="宋体" w:cs="宋体"/>
          <w:sz w:val="24"/>
          <w:szCs w:val="24"/>
          <w:u w:val="single"/>
          <w:shd w:val="clear" w:fill="FFFFFF"/>
        </w:rPr>
        <w:t>2</w:t>
      </w:r>
      <w:r>
        <w:rPr>
          <w:rFonts w:hint="eastAsia" w:ascii="宋体" w:hAnsi="宋体" w:eastAsia="宋体" w:cs="宋体"/>
          <w:sz w:val="24"/>
          <w:szCs w:val="24"/>
          <w:shd w:val="clear" w:fill="FFFFFF"/>
        </w:rPr>
        <w:t>把及以上、抽水泵</w:t>
      </w:r>
      <w:r>
        <w:rPr>
          <w:rFonts w:hint="eastAsia" w:ascii="宋体" w:hAnsi="宋体" w:eastAsia="宋体" w:cs="宋体"/>
          <w:sz w:val="24"/>
          <w:szCs w:val="24"/>
          <w:u w:val="single"/>
          <w:shd w:val="clear" w:fill="FFFFFF"/>
        </w:rPr>
        <w:t>4台</w:t>
      </w:r>
      <w:r>
        <w:rPr>
          <w:rFonts w:hint="eastAsia" w:ascii="宋体" w:hAnsi="宋体" w:eastAsia="宋体" w:cs="宋体"/>
          <w:sz w:val="24"/>
          <w:szCs w:val="24"/>
          <w:shd w:val="clear" w:fill="FFFFFF"/>
        </w:rPr>
        <w:t>及以上、树枝粉碎机</w:t>
      </w:r>
      <w:r>
        <w:rPr>
          <w:rFonts w:hint="eastAsia" w:ascii="宋体" w:hAnsi="宋体" w:eastAsia="宋体" w:cs="宋体"/>
          <w:sz w:val="24"/>
          <w:szCs w:val="24"/>
          <w:u w:val="single"/>
          <w:shd w:val="clear" w:fill="FFFFFF"/>
        </w:rPr>
        <w:t>2</w:t>
      </w:r>
      <w:r>
        <w:rPr>
          <w:rFonts w:hint="eastAsia" w:ascii="宋体" w:hAnsi="宋体" w:eastAsia="宋体" w:cs="宋体"/>
          <w:sz w:val="24"/>
          <w:szCs w:val="24"/>
          <w:shd w:val="clear" w:fill="FFFFFF"/>
        </w:rPr>
        <w:t>台及以上、厢式货车（核定载质量≥2.5T）</w:t>
      </w:r>
      <w:r>
        <w:rPr>
          <w:rFonts w:hint="eastAsia" w:ascii="宋体" w:hAnsi="宋体" w:eastAsia="宋体" w:cs="宋体"/>
          <w:sz w:val="24"/>
          <w:szCs w:val="24"/>
          <w:u w:val="single"/>
          <w:shd w:val="clear" w:fill="FFFFFF"/>
        </w:rPr>
        <w:t xml:space="preserve"> 1 </w:t>
      </w:r>
      <w:r>
        <w:rPr>
          <w:rFonts w:hint="eastAsia" w:ascii="宋体" w:hAnsi="宋体" w:eastAsia="宋体" w:cs="宋体"/>
          <w:sz w:val="24"/>
          <w:szCs w:val="24"/>
          <w:shd w:val="clear" w:fill="FFFFFF"/>
        </w:rPr>
        <w:t>辆、工具车</w:t>
      </w:r>
      <w:r>
        <w:rPr>
          <w:rFonts w:hint="eastAsia" w:ascii="宋体" w:hAnsi="宋体" w:eastAsia="宋体" w:cs="宋体"/>
          <w:sz w:val="24"/>
          <w:szCs w:val="24"/>
          <w:u w:val="single"/>
          <w:shd w:val="clear" w:fill="FFFFFF"/>
        </w:rPr>
        <w:t>2</w:t>
      </w:r>
      <w:r>
        <w:rPr>
          <w:rFonts w:hint="eastAsia" w:ascii="宋体" w:hAnsi="宋体" w:eastAsia="宋体" w:cs="宋体"/>
          <w:sz w:val="24"/>
          <w:szCs w:val="24"/>
          <w:shd w:val="clear" w:fill="FFFFFF"/>
        </w:rPr>
        <w:t>辆及以上、洒水车（核定载质量≥5T）</w:t>
      </w:r>
      <w:r>
        <w:rPr>
          <w:rFonts w:hint="eastAsia" w:ascii="宋体" w:hAnsi="宋体" w:eastAsia="宋体" w:cs="宋体"/>
          <w:sz w:val="24"/>
          <w:szCs w:val="24"/>
          <w:u w:val="single"/>
          <w:shd w:val="clear" w:fill="FFFFFF"/>
        </w:rPr>
        <w:t xml:space="preserve"> 1 </w:t>
      </w:r>
      <w:r>
        <w:rPr>
          <w:rFonts w:hint="eastAsia" w:ascii="宋体" w:hAnsi="宋体" w:eastAsia="宋体" w:cs="宋体"/>
          <w:sz w:val="24"/>
          <w:szCs w:val="24"/>
          <w:shd w:val="clear" w:fill="FFFFFF"/>
        </w:rPr>
        <w:t>辆、吊车</w:t>
      </w:r>
      <w:r>
        <w:rPr>
          <w:rFonts w:hint="eastAsia" w:ascii="宋体" w:hAnsi="宋体" w:eastAsia="宋体" w:cs="宋体"/>
          <w:sz w:val="24"/>
          <w:szCs w:val="24"/>
          <w:u w:val="single"/>
          <w:shd w:val="clear" w:fill="FFFFFF"/>
        </w:rPr>
        <w:t xml:space="preserve">_1 </w:t>
      </w:r>
      <w:r>
        <w:rPr>
          <w:rFonts w:hint="eastAsia" w:ascii="宋体" w:hAnsi="宋体" w:eastAsia="宋体" w:cs="宋体"/>
          <w:sz w:val="24"/>
          <w:szCs w:val="24"/>
          <w:shd w:val="clear" w:fill="FFFFFF"/>
        </w:rPr>
        <w:t>辆、</w:t>
      </w:r>
      <w:r>
        <w:rPr>
          <w:rFonts w:hint="eastAsia" w:ascii="宋体" w:hAnsi="宋体" w:eastAsia="宋体" w:cs="宋体"/>
          <w:sz w:val="24"/>
          <w:szCs w:val="24"/>
        </w:rPr>
        <w:t>高空修剪车</w:t>
      </w:r>
      <w:r>
        <w:rPr>
          <w:rFonts w:hint="eastAsia" w:ascii="宋体" w:hAnsi="宋体" w:eastAsia="宋体" w:cs="宋体"/>
          <w:sz w:val="24"/>
          <w:szCs w:val="24"/>
          <w:u w:val="single"/>
          <w:shd w:val="clear" w:fill="FFFFFF"/>
        </w:rPr>
        <w:t xml:space="preserve"> 1 </w:t>
      </w:r>
      <w:r>
        <w:rPr>
          <w:rFonts w:hint="eastAsia" w:ascii="宋体" w:hAnsi="宋体" w:eastAsia="宋体" w:cs="宋体"/>
          <w:sz w:val="24"/>
          <w:szCs w:val="24"/>
          <w:shd w:val="clear" w:fill="FFFFFF"/>
        </w:rPr>
        <w:t>辆、垃圾清运车（核定载质量≥5T）</w:t>
      </w:r>
      <w:r>
        <w:rPr>
          <w:rFonts w:hint="eastAsia" w:ascii="宋体" w:hAnsi="宋体" w:eastAsia="宋体" w:cs="宋体"/>
          <w:sz w:val="24"/>
          <w:szCs w:val="24"/>
          <w:u w:val="single"/>
          <w:shd w:val="clear" w:fill="FFFFFF"/>
        </w:rPr>
        <w:t xml:space="preserve"> 1 </w:t>
      </w:r>
      <w:r>
        <w:rPr>
          <w:rFonts w:hint="eastAsia" w:ascii="宋体" w:hAnsi="宋体" w:eastAsia="宋体" w:cs="宋体"/>
          <w:sz w:val="24"/>
          <w:szCs w:val="24"/>
          <w:shd w:val="clear" w:fill="FFFFFF"/>
        </w:rPr>
        <w:t>辆及以上、两轮电动车1辆及以上等工作需的各种工具和物料，以保证管理工作的顺利开展，并不得挪用于其他地方使用。</w:t>
      </w:r>
    </w:p>
    <w:p w14:paraId="735546C7">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物料、工具、器械、养护车辆的堆放场地由采购人负责，保管工作由中标人负责，如有遗失或因管理不当造成的损失和赔偿均有中标人承担。</w:t>
      </w:r>
    </w:p>
    <w:p w14:paraId="21F2783C">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以上设备签订合同之前由采购人检验后，双方签订合同。</w:t>
      </w:r>
    </w:p>
    <w:p w14:paraId="5402EE19">
      <w:pPr>
        <w:pStyle w:val="6"/>
        <w:keepNext w:val="0"/>
        <w:keepLines w:val="0"/>
        <w:pageBreakBefore w:val="0"/>
        <w:kinsoku/>
        <w:wordWrap/>
        <w:overflowPunct/>
        <w:topLinePunct w:val="0"/>
        <w:autoSpaceDE/>
        <w:autoSpaceDN/>
        <w:bidi w:val="0"/>
        <w:adjustRightInd w:val="0"/>
        <w:snapToGrid w:val="0"/>
        <w:spacing w:line="240" w:lineRule="auto"/>
        <w:ind w:left="0" w:firstLine="345"/>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shd w:val="clear" w:fill="FFFFFF"/>
        </w:rPr>
        <w:t>如在日常工作中机械、车辆未应采购人要求到场，</w:t>
      </w:r>
      <w:r>
        <w:rPr>
          <w:rFonts w:hint="eastAsia" w:ascii="宋体" w:hAnsi="宋体" w:eastAsia="宋体" w:cs="宋体"/>
          <w:sz w:val="24"/>
          <w:szCs w:val="24"/>
        </w:rPr>
        <w:t>采购人有权视情况进行扣款处罚，机械按每次500元/件，车辆按每次2000元/辆进行扣款，在当月养护费中直接扣除并在当期考核周期中进行扣分。</w:t>
      </w:r>
    </w:p>
    <w:p w14:paraId="7A28F4FC">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（四）养护要求</w:t>
      </w:r>
    </w:p>
    <w:p w14:paraId="4E4B59A2">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园林绿化养护管理质量标准（按二级绿化养护管理质量标准）</w:t>
      </w:r>
    </w:p>
    <w:p w14:paraId="393CC62E">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序号25：</w:t>
      </w:r>
      <w:r>
        <w:rPr>
          <w:rFonts w:hint="eastAsia" w:ascii="宋体" w:hAnsi="宋体" w:eastAsia="宋体" w:cs="宋体"/>
          <w:sz w:val="24"/>
          <w:szCs w:val="24"/>
          <w:shd w:val="clear" w:fill="FFFFFF"/>
        </w:rPr>
        <w:t>绿化养护技术措施完善，管理得当，植物配置科学合理，绿地达到不黄土裸露。</w:t>
      </w:r>
    </w:p>
    <w:p w14:paraId="35BDF39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序号26：</w:t>
      </w:r>
      <w:r>
        <w:rPr>
          <w:rFonts w:hint="eastAsia" w:ascii="宋体" w:hAnsi="宋体" w:eastAsia="宋体" w:cs="宋体"/>
          <w:sz w:val="24"/>
          <w:szCs w:val="24"/>
          <w:shd w:val="clear" w:fill="FFFFFF"/>
        </w:rPr>
        <w:t>园林树木树冠完整美观，主侧枝分布匀称、数量适宜，枝条粗壮，修剪科学合理，通风透光，无枯枝死杈。生长旺盛，枝叶健壮，树形美观。行道树下缘线整齐，修剪适度，分枝点高至少应在2.5m以上，干直、冠美，无死树缺株，无枯枝残叶，景观效果优良。</w:t>
      </w:r>
    </w:p>
    <w:p w14:paraId="6E628C4F">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序号27：</w:t>
      </w:r>
      <w:r>
        <w:rPr>
          <w:rFonts w:hint="eastAsia" w:ascii="宋体" w:hAnsi="宋体" w:eastAsia="宋体" w:cs="宋体"/>
          <w:sz w:val="24"/>
          <w:szCs w:val="24"/>
          <w:shd w:val="clear" w:fill="FFFFFF"/>
        </w:rPr>
        <w:t>花灌木开花及时，株形丰满，花后修剪及时合理。绿篱、色块等修剪及时，枝叶茂密，整齐一致，整型树木造型雅观。落叶树新梢生长正常，叶片大小、颜色正常。</w:t>
      </w:r>
    </w:p>
    <w:p w14:paraId="5AA202E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序号28：</w:t>
      </w:r>
      <w:r>
        <w:rPr>
          <w:rFonts w:hint="eastAsia" w:ascii="宋体" w:hAnsi="宋体" w:eastAsia="宋体" w:cs="宋体"/>
          <w:sz w:val="24"/>
          <w:szCs w:val="24"/>
          <w:shd w:val="clear" w:fill="FFFFFF"/>
        </w:rPr>
        <w:t>草坪及地被植物整齐一致，覆盖率95 %以上，草坪内杂草率不得超过3%。草坪秃斑应及时补种，保证草坪的覆盖度和密度。攀缘植物覆盖率不得低于80%，开花的攀缘植物能适时开花。</w:t>
      </w:r>
    </w:p>
    <w:p w14:paraId="46E6C6C8">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序号29：</w:t>
      </w:r>
      <w:r>
        <w:rPr>
          <w:rFonts w:hint="eastAsia" w:ascii="宋体" w:hAnsi="宋体" w:eastAsia="宋体" w:cs="宋体"/>
          <w:sz w:val="24"/>
          <w:szCs w:val="24"/>
          <w:shd w:val="clear" w:fill="FFFFFF"/>
        </w:rPr>
        <w:t>病虫害控制及时，园林树木无蛀干害虫的活卵、活虫；在园林树木主干、主枝上平均每100cm²介壳虫的活虫数不得超过1头，较细枝条上平均每30cm不得超过2头，且平均被害株数不得超过1％。叶片上无虫粪、虫网。被虫咬的叶片每株不得超过2%。</w:t>
      </w:r>
    </w:p>
    <w:p w14:paraId="14258B55">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序号30：</w:t>
      </w:r>
      <w:r>
        <w:rPr>
          <w:rFonts w:hint="eastAsia" w:ascii="宋体" w:hAnsi="宋体" w:eastAsia="宋体" w:cs="宋体"/>
          <w:sz w:val="24"/>
          <w:szCs w:val="24"/>
          <w:shd w:val="clear" w:fill="FFFFFF"/>
        </w:rPr>
        <w:t>绿地整洁，无杂物、无白色污染（树挂），对绿化生产垃圾（如树枝、树叶、草屑等）、绿地内杂物，重点地区随产随清，其它地区日产日清，做到巡视保洁。</w:t>
      </w:r>
    </w:p>
    <w:p w14:paraId="40B6DF80">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（五）园林植物养护管理技术措施及要求：</w:t>
      </w:r>
    </w:p>
    <w:p w14:paraId="61B32A0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序号31：</w:t>
      </w:r>
      <w:r>
        <w:rPr>
          <w:rFonts w:hint="eastAsia" w:ascii="宋体" w:hAnsi="宋体" w:eastAsia="宋体" w:cs="宋体"/>
          <w:sz w:val="24"/>
          <w:szCs w:val="24"/>
          <w:shd w:val="clear" w:fill="FFFFFF"/>
        </w:rPr>
        <w:t>全园植物生长健壮、旺盛，观叶植物颜色鲜艳。无病虫害、无死树、无枯枝、无残花、无败叶、无野生藤萝缠生、无缺株、无杂草；枯危和倒伏的乔灌木（含棕榈科、芭蕉）及时处理，并做好防寒工作。</w:t>
      </w:r>
    </w:p>
    <w:p w14:paraId="5CCB433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序号32：</w:t>
      </w:r>
      <w:r>
        <w:rPr>
          <w:rFonts w:hint="eastAsia" w:ascii="宋体" w:hAnsi="宋体" w:eastAsia="宋体" w:cs="宋体"/>
          <w:sz w:val="24"/>
          <w:szCs w:val="24"/>
          <w:shd w:val="clear" w:fill="FFFFFF"/>
        </w:rPr>
        <w:t xml:space="preserve">整地松土除草：除草可保持土壤中的养分及水分，有利于植株的生长发育。一般定于每年的春、秋季，具体情况按实调整；松土时株行中间处应深，近植株处应浅。松土深度一般为5-8厘米。        </w:t>
      </w:r>
    </w:p>
    <w:p w14:paraId="0914F01B">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序号33：</w:t>
      </w:r>
      <w:r>
        <w:rPr>
          <w:rFonts w:hint="eastAsia" w:ascii="宋体" w:hAnsi="宋体" w:eastAsia="宋体" w:cs="宋体"/>
          <w:sz w:val="24"/>
          <w:szCs w:val="24"/>
          <w:shd w:val="clear" w:fill="FFFFFF"/>
        </w:rPr>
        <w:t>浇水：根据气候条件进行浇水，确保植物生长所必须的水分。</w:t>
      </w:r>
    </w:p>
    <w:p w14:paraId="4FCF71E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序号34：</w:t>
      </w:r>
      <w:r>
        <w:rPr>
          <w:rFonts w:hint="eastAsia" w:ascii="宋体" w:hAnsi="宋体" w:eastAsia="宋体" w:cs="宋体"/>
          <w:sz w:val="24"/>
          <w:szCs w:val="24"/>
          <w:shd w:val="clear" w:fill="FFFFFF"/>
        </w:rPr>
        <w:t>施肥：植物生长季节应进行追肥。在每年的春、秋季重点施肥2次。施肥量根据植物的种类和生长情况而定。特别是每年对桂花、木兰科、洋紫荆等花灌木、花乔木进行有针对性的施肥。以有机肥为主，施肥标准平均每平方米不得少于0.6kg，</w:t>
      </w:r>
      <w:r>
        <w:rPr>
          <w:rFonts w:hint="eastAsia" w:ascii="宋体" w:hAnsi="宋体" w:eastAsia="宋体" w:cs="宋体"/>
          <w:b/>
          <w:sz w:val="24"/>
          <w:szCs w:val="24"/>
          <w:shd w:val="clear" w:fill="FFFFFF"/>
        </w:rPr>
        <w:t>需提供有机肥检测报告，应符合有机肥标准：NY525-2002。</w:t>
      </w:r>
    </w:p>
    <w:p w14:paraId="3FEF073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序号35：</w:t>
      </w:r>
      <w:r>
        <w:rPr>
          <w:rFonts w:hint="eastAsia" w:ascii="宋体" w:hAnsi="宋体" w:eastAsia="宋体" w:cs="宋体"/>
          <w:sz w:val="24"/>
          <w:szCs w:val="24"/>
          <w:shd w:val="clear" w:fill="FFFFFF"/>
        </w:rPr>
        <w:t>病虫害防治：本着“预防为主、综合防治”的方针，发现病虫害应及时上报采购人，积极采用生物防治手段进行防治，如采用化学药剂防止病虫害时，必须注意防治对象、用药种类、用药浓度、施用方法、用药时间、施用部分和环境条件等。喷药时，应尽量降低对游人的影响。</w:t>
      </w:r>
    </w:p>
    <w:p w14:paraId="3DAE4621">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序号36：</w:t>
      </w:r>
      <w:r>
        <w:rPr>
          <w:rFonts w:hint="eastAsia" w:ascii="宋体" w:hAnsi="宋体" w:eastAsia="宋体" w:cs="宋体"/>
          <w:sz w:val="24"/>
          <w:szCs w:val="24"/>
          <w:shd w:val="clear" w:fill="FFFFFF"/>
        </w:rPr>
        <w:t>整形与修剪：主要修剪时间是春、夏二季。乔木（含棕榈科、芭蕉）主要是修剪病枝叶、枯枝叶、徒长枝；灌木按不同的造型进行修剪；地被四季均要修剪，按要求控制高度和造型。因特殊观赏需要，可根据树木生长生育的特性，对树木进行整形，将树冠修剪成设计的形状。</w:t>
      </w:r>
    </w:p>
    <w:p w14:paraId="75EAAF6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序号37：</w:t>
      </w:r>
      <w:r>
        <w:rPr>
          <w:rFonts w:hint="eastAsia" w:ascii="宋体" w:hAnsi="宋体" w:eastAsia="宋体" w:cs="宋体"/>
          <w:sz w:val="24"/>
          <w:szCs w:val="24"/>
          <w:shd w:val="clear" w:fill="FFFFFF"/>
        </w:rPr>
        <w:t>公园内无枯死树，新栽植物成活率达98％以上。每季度检查一次植株的成活，如有死亡或生长极度不良，应在检查后10天内由养护单位负责补植。</w:t>
      </w:r>
    </w:p>
    <w:p w14:paraId="65EEE27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序号38：</w:t>
      </w:r>
      <w:r>
        <w:rPr>
          <w:rFonts w:hint="eastAsia" w:ascii="宋体" w:hAnsi="宋体" w:eastAsia="宋体" w:cs="宋体"/>
          <w:sz w:val="24"/>
          <w:szCs w:val="24"/>
          <w:shd w:val="clear" w:fill="FFFFFF"/>
        </w:rPr>
        <w:t>草坪的管理：草坪要求保持青绿旺盛，边缘草要修剪整齐、草坪高度保持在6cm以下；保持草坪地形平整，无凹凸不平现象，如有发现及时疏草和加沙滚压。</w:t>
      </w:r>
    </w:p>
    <w:p w14:paraId="62F108DD">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序号39：</w:t>
      </w:r>
      <w:r>
        <w:rPr>
          <w:rFonts w:hint="eastAsia" w:ascii="宋体" w:hAnsi="宋体" w:eastAsia="宋体" w:cs="宋体"/>
          <w:sz w:val="24"/>
          <w:szCs w:val="24"/>
          <w:shd w:val="clear" w:fill="FFFFFF"/>
        </w:rPr>
        <w:t>禾本科植物（含竹丛、原生绿地（芦苇荡））管理要求</w:t>
      </w:r>
    </w:p>
    <w:p w14:paraId="6402D5C0">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修剪：按采购人修剪方案进行全面修剪一次以上，全年根据芦苇等植物的生长特点、立地环境，生长期根据景观效果要求进行适当修剪，园路及主入口两侧保证离50cm，修剪整齐，结合疏删枯死叶弱株，达到通风透光。</w:t>
      </w:r>
    </w:p>
    <w:p w14:paraId="683E9BE5">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（2）施肥：合理施肥，保持土壤营养综合平衡，在进入生长盛期的5月中下旬进行施肥，施肥品种以氮肥为主。</w:t>
      </w:r>
    </w:p>
    <w:p w14:paraId="0B0AE601">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浇水：在春季发芽前灌浅水，保持土壤湿润，促进芦苇发芽。5月中旬以后，芦苇进入生长盛期，生长速度加快，需水量增加。8月中旬以后，芦苇进入生殖生长期，需水量降低，进行土壤排水，保持土壤湿润。</w:t>
      </w:r>
    </w:p>
    <w:p w14:paraId="38A8CEF0">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（4）病虫害防治：一般严重发生季节在6-7月之间，应采取适当的防治措施。</w:t>
      </w:r>
    </w:p>
    <w:p w14:paraId="0666BFC8">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（5）对原生绿地（芦苇荡）中的枯枝落叶、白色垃圾要及时清除，应无枯枝叶、无大型野藤，保持整洁美观。重剪后，应加强绿地保洁工作。</w:t>
      </w:r>
    </w:p>
    <w:p w14:paraId="718F0D3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（6）竹丛的养护管理：要求无断枝、无倒伏、无枯枝，每年冬季应疏枝，去除老枝及地面上的老根。</w:t>
      </w:r>
    </w:p>
    <w:p w14:paraId="6BBC626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（7）禾本科植物修剪后产生的垃圾及时袋装，及时清运，做到日产日清，严禁就地焚烧。中标人可做无害化处理，沤肥利用到公园养护中。</w:t>
      </w:r>
    </w:p>
    <w:p w14:paraId="44E776D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序号40：</w:t>
      </w:r>
      <w:r>
        <w:rPr>
          <w:rFonts w:hint="eastAsia" w:ascii="宋体" w:hAnsi="宋体" w:eastAsia="宋体" w:cs="宋体"/>
          <w:sz w:val="24"/>
          <w:szCs w:val="24"/>
          <w:shd w:val="clear" w:fill="FFFFFF"/>
        </w:rPr>
        <w:t>大树修剪作业要求：</w:t>
      </w:r>
    </w:p>
    <w:p w14:paraId="13A3BFE1">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1）园林树木修剪的程序：概括起来既“一知、二看、三剪、四拿、五处理、六保护。”</w:t>
      </w:r>
    </w:p>
    <w:p w14:paraId="264DAE33">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（1）一知：参加修剪的全体员工，必须知道操作规程，技术规范及特殊要求。</w:t>
      </w:r>
    </w:p>
    <w:p w14:paraId="578AC40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（2）二看：修剪前先绕树观察，对树木的修剪方法做到心中有数。</w:t>
      </w:r>
    </w:p>
    <w:p w14:paraId="7987B120">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（3）三剪：根据因地制宜，因树修剪的原则，做到合理修剪。</w:t>
      </w:r>
    </w:p>
    <w:p w14:paraId="25A47FFB">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（4）四拿：修剪下来的枝条，及时拿掉，集体运走，保证环境整洁。</w:t>
      </w:r>
    </w:p>
    <w:p w14:paraId="21F072F9">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（5）五处理：剪下的枝条要及时处理，防止病虫害蔓延。</w:t>
      </w:r>
    </w:p>
    <w:p w14:paraId="2C0C8D30">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（6）六保护：疏除大枝、粗枝，要保护乔木。</w:t>
      </w:r>
    </w:p>
    <w:p w14:paraId="548BC853">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2）大树修剪安全作业要求</w:t>
      </w:r>
    </w:p>
    <w:p w14:paraId="4C0DB073">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（1）操作时思想集中，不许打闹谈笑，上树前不许饮酒，保持头脑清醒。</w:t>
      </w:r>
    </w:p>
    <w:p w14:paraId="02F0B63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（2）项目现场要求配一名有实践经验的的技术人员担任安全质量检查员（安全员），负责安全、技术指导、质量检查及宣传工作。</w:t>
      </w:r>
    </w:p>
    <w:p w14:paraId="66C2567E">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（3）按规定穿好工作服，戴好安全帽，系好安全绳和安全带等。</w:t>
      </w:r>
    </w:p>
    <w:p w14:paraId="024EB6CB">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（4）上大树梯子必须牢靠，要立的稳，单位梯将上部横挡与树身捆住，人字梯中腰拴绳，角度开张适中。</w:t>
      </w:r>
    </w:p>
    <w:p w14:paraId="61D0082B">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（5）上树后系好安全绳，手锯绳套拴在手腕上。</w:t>
      </w:r>
    </w:p>
    <w:p w14:paraId="0A8EBEF7">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（6）台风、暴雨期间均不得进行作业，五级以上（含五级）大风不可上树。</w:t>
      </w:r>
    </w:p>
    <w:p w14:paraId="56350123">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（7）若发生需要截除大枝的情况，则需要具有一定经验的技术人员指挥操作。</w:t>
      </w:r>
    </w:p>
    <w:p w14:paraId="2755F2C2">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（8）公园及路树修剪，要有专人维护现场，树上树下互相配合，防止砸伤行人和过往车辆。</w:t>
      </w:r>
    </w:p>
    <w:p w14:paraId="7CC131F5">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（9）凡有高血压和心脏病者不得上树作业。</w:t>
      </w:r>
    </w:p>
    <w:p w14:paraId="5CDA8786">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（10）修剪工具要坚固耐用，防止误伤和影响工作。</w:t>
      </w:r>
    </w:p>
    <w:p w14:paraId="55CF3A76">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（11）一棵树修完，不准从此树跳到另一棵树上，必须下树重上。</w:t>
      </w:r>
    </w:p>
    <w:p w14:paraId="741738AC">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（12）在高压线附近作业，要特别注意安全，避免触电，需要时请供电部门配合。</w:t>
      </w:r>
    </w:p>
    <w:p w14:paraId="110AE13C">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（13）几个人同时在一棵树上修剪，要有专人指挥，注意协作，避免误伤同伴。</w:t>
      </w:r>
    </w:p>
    <w:p w14:paraId="24CAF7E0">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（14）使用高车修剪，要检查车辆部件，要支放平稳，操作过程中，有专人检查高车情况，有问题及时处理。</w:t>
      </w:r>
    </w:p>
    <w:p w14:paraId="5A36A5D0">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（15）作业前需检查好修剪工具是否牢固，辅助作业的爬梯、安全绳索等相关工具是否存在损坏情况，若存在损坏情况，立刻进行更换方可进行作业。</w:t>
      </w:r>
    </w:p>
    <w:p w14:paraId="7F31D56B">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（16）在高压线或高压电箱附近作业时，需注意安全，以防触电，如有需要时及时联系供电部门配合。</w:t>
      </w:r>
    </w:p>
    <w:p w14:paraId="4B5DC912">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（17）办理修剪树枝所需的一切报批手续。</w:t>
      </w:r>
    </w:p>
    <w:p w14:paraId="788F0455">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（18）如因修剪影响到行车或行人等受到投诉时，应及时采取措施处理。</w:t>
      </w:r>
    </w:p>
    <w:p w14:paraId="424FF6B9">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序号41：</w:t>
      </w:r>
      <w:r>
        <w:rPr>
          <w:rFonts w:hint="eastAsia" w:ascii="宋体" w:hAnsi="宋体" w:eastAsia="宋体" w:cs="宋体"/>
          <w:sz w:val="24"/>
          <w:szCs w:val="24"/>
          <w:shd w:val="clear" w:fill="FFFFFF"/>
        </w:rPr>
        <w:t>喷药作业要求：</w:t>
      </w:r>
    </w:p>
    <w:p w14:paraId="51EF990E">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1）农药使用保管规定</w:t>
      </w:r>
    </w:p>
    <w:p w14:paraId="6CDA4DC2">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（1）正确选用农药：在了解药剂性能，保护对象，掌握病虫发生规律基础上，正确选用农药品种、浓度、用量避免盲目乱用，禁止使用过期药剂。</w:t>
      </w:r>
    </w:p>
    <w:p w14:paraId="33D5C67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（2）适时用药；选择最有利的防治时机，防小、防早，夏季避免中午前后气温高时施药，防止产生药害。</w:t>
      </w:r>
    </w:p>
    <w:p w14:paraId="6F6C7AA1">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（3）交替使用：在一个地域长期使用一种农药防治某一种病虫，此种病虫可能产生抗药性，因此要交替使用，提高杀灭效果。</w:t>
      </w:r>
    </w:p>
    <w:p w14:paraId="1EFA3669">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（4）喷药要均匀喷布、不漏喷，特别注意叶背的喷布。</w:t>
      </w:r>
    </w:p>
    <w:p w14:paraId="1F2CA507">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（5）公用绿地喷药时，要提前上报采购人，要设立警示牌，禁止游人接近或选择夜晚行人少时喷洒。</w:t>
      </w:r>
    </w:p>
    <w:p w14:paraId="33AF6D67">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（6）农药使用完后的空瓶、空袋要妥善处理，不要污染水源。</w:t>
      </w:r>
    </w:p>
    <w:p w14:paraId="1F16D0E4">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（7）农药应指定专人保管、领用，在阴凉、干燥、通风的房间存放。</w:t>
      </w:r>
    </w:p>
    <w:p w14:paraId="66744EDE">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2）喷药安全操作规定</w:t>
      </w:r>
    </w:p>
    <w:p w14:paraId="52ABA92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（1）喷药人员作业时要带口罩、眼镜、胶手套，穿长袖长衫，防止自身中毒。</w:t>
      </w:r>
    </w:p>
    <w:p w14:paraId="74054957">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（2）配兑药物时要小心操作，防止药液溅洒。</w:t>
      </w:r>
    </w:p>
    <w:p w14:paraId="6202C512">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（3）有微风天气喷施农药时，人应站在上风方向作业。</w:t>
      </w:r>
    </w:p>
    <w:p w14:paraId="1B651944">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（4）喷药容器密封不严，外溢药物时，要停止使用修理好后再使用。</w:t>
      </w:r>
    </w:p>
    <w:p w14:paraId="1AFF0772">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（5）喷药期间，不得抽烟、吃东西。</w:t>
      </w:r>
    </w:p>
    <w:p w14:paraId="7B37EA2D">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（6）喷药后要及时清洗容器、衣物，洗手洗脸。</w:t>
      </w:r>
    </w:p>
    <w:p w14:paraId="3D122C9A">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序号42：在养护期间要爱护乌龙江公园养护设施(如喷头、抽水泵等)，如有损坏或损失，由中标人三天内修复。否则，由采购人原状修复后，向中标人收取成本价二倍的维修费。</w:t>
      </w:r>
    </w:p>
    <w:p w14:paraId="5714F86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序号43：乔灌木(不含草坪、已硬化的绿地)丛中枯枝烂叶要及时清除，确保整洁美观。绿化产生的垃圾能装袋的要及时装袋，无法装袋的枝杆或外来较大的垃圾(绿化带中)要及时清理出来并集中在指定的位置，及时清运。</w:t>
      </w:r>
    </w:p>
    <w:p w14:paraId="619CC548">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序号44：抗旱、抗台、抗涝、抗洪、抗冻：旱季（含新种）植物要及时进行灌溉，防止植物因脱水而造成枯死。台汛期间要做好加固、排涝抢险工作，防止植物受损。冬季气温下降时，要对园内易受冻植物进行防冻保护。</w:t>
      </w:r>
    </w:p>
    <w:p w14:paraId="4A8B6FC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序号45：对公园园区内的树木支撑按照园林相关规范要求（或采购人要求的标准）进行更换及维护。</w:t>
      </w:r>
    </w:p>
    <w:p w14:paraId="49F6DB26">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序号46：</w:t>
      </w:r>
      <w:r>
        <w:rPr>
          <w:rFonts w:hint="eastAsia" w:ascii="宋体" w:hAnsi="宋体" w:eastAsia="宋体" w:cs="宋体"/>
          <w:sz w:val="24"/>
          <w:szCs w:val="24"/>
          <w:shd w:val="clear" w:fill="FFFFFF"/>
        </w:rPr>
        <w:t>养护期间所产生的绿化垃圾需按照相关文件要求进行转运处理，转运工作</w:t>
      </w:r>
      <w:r>
        <w:rPr>
          <w:rFonts w:hint="eastAsia" w:ascii="宋体" w:hAnsi="宋体" w:eastAsia="宋体" w:cs="宋体"/>
          <w:sz w:val="24"/>
          <w:szCs w:val="24"/>
        </w:rPr>
        <w:t>必须由公园所属当地政府部门所规定的有相应资质的垃圾收运企业进行运输处理，如中标人无相应垃圾收运资质，需与有资质垃圾收运企业签定相关协议安排绿化垃圾收集转运。中标人须提供绿化垃圾收运记录供采购人查验，并做好绿化垃圾转运台账按月交由采购人检查存档。</w:t>
      </w:r>
    </w:p>
    <w:p w14:paraId="2F3F17F2">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序号47：投标人应按照《福州市生活垃圾分类工作指引》（4-1，四，（五）自行投放至辖区规范的大件垃圾投放点集散点，或通过公众号、电话等方式预约福州市大件废弃物处置服务有限公司上门进行搬运、运输和处置）等相关要求做好大件（园林）垃圾处置工作。</w:t>
      </w:r>
    </w:p>
    <w:p w14:paraId="02A210DA">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(六)绿化补植相关细则</w:t>
      </w:r>
    </w:p>
    <w:p w14:paraId="6252B7AB">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序号48：在中标人养护管理期间，发生绿化植株死亡的情况，由采购人及中标人共同进行现场查勘，确定原因。</w:t>
      </w:r>
    </w:p>
    <w:p w14:paraId="0CB6C77E">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序号49：不属于中标人养护管理不到位的情况，由采购人安排进行补植，费用由采购人负责。</w:t>
      </w:r>
    </w:p>
    <w:p w14:paraId="424CF86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50：属于中标人养护不到位的，由中标人采购相应规格苗木进行补植，费用由中标人负责，如整改通知规定时间内中标人不进行补植，采购人有权视情况处以500-2000的罚金，安排自行采购补植，所产生的费用由当月养护服务费用中扣除，不足部分由履约保证金中支出，并可继续向中标人追偿。</w:t>
      </w:r>
    </w:p>
    <w:p w14:paraId="47A07563">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序号51：如中标人养护不到位，造成绿化苗木大量死亡的（死亡率超过15%的），采购人有权解除养护服务合同，并扣除履约保证金。如系重大责任事故，采购人有权根据合同向中标人经济索赔并追究法律责任。</w:t>
      </w:r>
    </w:p>
    <w:p w14:paraId="308FD00E">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(七)合同管理要求</w:t>
      </w:r>
    </w:p>
    <w:p w14:paraId="5C9C2FF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序号52：绿化养护服务期间内，采购人有权根据政府管理需要提前增加或收回部分合同委托管理的区域，中标人应在一个月内完成入场或清场工作。（管理区域如有调整按相应的费用对中标价进行核减）</w:t>
      </w:r>
    </w:p>
    <w:p w14:paraId="432043C1">
      <w:pPr>
        <w:pStyle w:val="6"/>
        <w:keepNext w:val="0"/>
        <w:keepLines w:val="0"/>
        <w:pageBreakBefore w:val="0"/>
        <w:kinsoku/>
        <w:wordWrap/>
        <w:overflowPunct/>
        <w:topLinePunct w:val="0"/>
        <w:autoSpaceDE/>
        <w:autoSpaceDN/>
        <w:bidi w:val="0"/>
        <w:adjustRightInd w:val="0"/>
        <w:snapToGrid w:val="0"/>
        <w:spacing w:line="240" w:lineRule="auto"/>
        <w:ind w:left="0" w:firstLine="398"/>
        <w:textAlignment w:val="auto"/>
        <w:rPr>
          <w:rFonts w:hint="eastAsia" w:ascii="宋体" w:hAnsi="宋体" w:eastAsia="宋体" w:cs="宋体"/>
          <w:sz w:val="24"/>
          <w:szCs w:val="24"/>
        </w:rPr>
      </w:pPr>
      <w:r>
        <w:rPr>
          <w:rFonts w:hint="eastAsia" w:ascii="宋体" w:hAnsi="宋体" w:eastAsia="宋体" w:cs="宋体"/>
          <w:sz w:val="24"/>
          <w:szCs w:val="24"/>
        </w:rPr>
        <w:t>★序号53：绿化养护服务期间，违反下列规定的中标人将被解除绿化养护服务合同，并扣除履约保证金。</w:t>
      </w:r>
    </w:p>
    <w:p w14:paraId="10C866A8">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（1）将承包的绿化养护服务转包他人；</w:t>
      </w:r>
    </w:p>
    <w:p w14:paraId="0CA21DF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（2）招标文件及合同的有关规定；</w:t>
      </w:r>
    </w:p>
    <w:p w14:paraId="1D374CA6">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（3）出现其他重大问题。</w:t>
      </w:r>
    </w:p>
    <w:p w14:paraId="06ED5FD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序号54：中标人在合同期内需要解除或部分解除合同的应提前壹个月书面告知采购人，否则违约方应向守约方支付中标金额5%的违约金。</w:t>
      </w:r>
    </w:p>
    <w:p w14:paraId="7D4B70DE">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序号55：中标人单方面提出解除合同，采购人有权没收全部履约保证金，并上报市采购办予以相应处罚。</w:t>
      </w:r>
    </w:p>
    <w:p w14:paraId="2546EFA2">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(八)中标人管理不当发生重大事故</w:t>
      </w:r>
    </w:p>
    <w:p w14:paraId="0DB76A22">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序号56：</w:t>
      </w:r>
      <w:r>
        <w:rPr>
          <w:rFonts w:hint="eastAsia" w:ascii="宋体" w:hAnsi="宋体" w:eastAsia="宋体" w:cs="宋体"/>
          <w:sz w:val="24"/>
          <w:szCs w:val="24"/>
          <w:shd w:val="clear" w:fill="FFFFFF"/>
        </w:rPr>
        <w:t>凡属中标人管理不当发生安全生产事故，按损失金额的70-100%进行赔偿。如系重大责任事故，采购人有权根据合同向中标人索赔并追究法律责任。中标人收到采购人的通知后，在规定的整改期限内仍未整改到位并消除安全隐患的，则采购人有权终止合同。</w:t>
      </w:r>
    </w:p>
    <w:p w14:paraId="16A07E2B">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14:paraId="45BCC53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1241"/>
        <w:gridCol w:w="1255"/>
        <w:gridCol w:w="5025"/>
      </w:tblGrid>
      <w:tr w14:paraId="4A6DA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363EBE0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41" w:type="dxa"/>
          </w:tcPr>
          <w:p w14:paraId="5469841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1255" w:type="dxa"/>
          </w:tcPr>
          <w:p w14:paraId="57D07A9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类型</w:t>
            </w:r>
          </w:p>
        </w:tc>
        <w:tc>
          <w:tcPr>
            <w:tcW w:w="5025" w:type="dxa"/>
          </w:tcPr>
          <w:p w14:paraId="0E2274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要求</w:t>
            </w:r>
          </w:p>
        </w:tc>
      </w:tr>
      <w:tr w14:paraId="21D00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1EF2E1C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41" w:type="dxa"/>
          </w:tcPr>
          <w:p w14:paraId="572345E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4189CD7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交货时间</w:t>
            </w:r>
          </w:p>
        </w:tc>
        <w:tc>
          <w:tcPr>
            <w:tcW w:w="5025" w:type="dxa"/>
          </w:tcPr>
          <w:p w14:paraId="56F2E73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自合同签订之日起2年</w:t>
            </w:r>
          </w:p>
        </w:tc>
      </w:tr>
      <w:tr w14:paraId="40B09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412980C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41" w:type="dxa"/>
          </w:tcPr>
          <w:p w14:paraId="10A7E66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4C9E610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交货地点</w:t>
            </w:r>
          </w:p>
        </w:tc>
        <w:tc>
          <w:tcPr>
            <w:tcW w:w="5025" w:type="dxa"/>
          </w:tcPr>
          <w:p w14:paraId="7ABC8A5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福州市乌龙江公园管理处</w:t>
            </w:r>
          </w:p>
        </w:tc>
      </w:tr>
      <w:tr w14:paraId="5711A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73C1CBF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41" w:type="dxa"/>
          </w:tcPr>
          <w:p w14:paraId="4344FA6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4C9D501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交货条件</w:t>
            </w:r>
          </w:p>
        </w:tc>
        <w:tc>
          <w:tcPr>
            <w:tcW w:w="5025" w:type="dxa"/>
          </w:tcPr>
          <w:p w14:paraId="16BBE2F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以签订的合同为准。</w:t>
            </w:r>
          </w:p>
        </w:tc>
      </w:tr>
      <w:tr w14:paraId="06D60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5C9296C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241" w:type="dxa"/>
          </w:tcPr>
          <w:p w14:paraId="732A685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4D6BE1E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5025" w:type="dxa"/>
          </w:tcPr>
          <w:p w14:paraId="3D9C187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22572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367F960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241" w:type="dxa"/>
          </w:tcPr>
          <w:p w14:paraId="2D76890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1F6889B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履约验收方式</w:t>
            </w:r>
          </w:p>
        </w:tc>
        <w:tc>
          <w:tcPr>
            <w:tcW w:w="5025" w:type="dxa"/>
          </w:tcPr>
          <w:p w14:paraId="131BC15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1、期次1，说明：以签订的合同为准。</w:t>
            </w:r>
          </w:p>
        </w:tc>
      </w:tr>
      <w:tr w14:paraId="13465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32F9C7D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241" w:type="dxa"/>
          </w:tcPr>
          <w:p w14:paraId="6893D38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58778A3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合同支付方式</w:t>
            </w:r>
          </w:p>
        </w:tc>
        <w:tc>
          <w:tcPr>
            <w:tcW w:w="5025" w:type="dxa"/>
          </w:tcPr>
          <w:p w14:paraId="24B32B8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1、采购人按照月支付，中标人完成月绿化养护工作，并经采购人和中标人双方共同核定的月养护经费后，待财政资金到位后，达到付款条件起10日内，支付合同总金额的4.16%</w:t>
            </w:r>
          </w:p>
          <w:p w14:paraId="63A2011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2、采购人按照月支付，中标人完成月绿化养护工作，并经采购人和中标人双方共同核定的月养护经费后，待财政资金到位后，达到付款条件起10日内，支付合同总金额的4.16%</w:t>
            </w:r>
          </w:p>
          <w:p w14:paraId="4FCA5DC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3、采购人按照月支付，中标人完成月绿化养护工作，并经采购人和中标人双方共同核定的月养护经费后，待财政资金到位后，达到付款条件起10日内，支付合同总金额的4.16%</w:t>
            </w:r>
          </w:p>
          <w:p w14:paraId="4067F77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4、采购人按照月支付，中标人完成月绿化养护工作，并经采购人和中标人双方共同核定的月养护经费后，待财政资金到位后，达到付款条件起10日内，支付合同总金额的4.16%</w:t>
            </w:r>
          </w:p>
          <w:p w14:paraId="0FE5FCF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5、采购人按照月支付，中标人完成月绿化养护工作，并经采购人和中标人双方共同核定的月养护经费后，待财政资金到位后，达到付款条件起10日内，支付合同总金额的4.16%</w:t>
            </w:r>
          </w:p>
          <w:p w14:paraId="76B1031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6、采购人按照月支付，中标人完成月绿化养护工作，并经采购人和中标人双方共同核定的月养护经费后，待财政资金到位后，达到付款条件起10日内，支付合同总金额的4.16%</w:t>
            </w:r>
          </w:p>
          <w:p w14:paraId="0CF7234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7、采购人按照月支付，中标人完成月绿化养护工作，并经采购人和中标人双方共同核定的月养护经费后，待财政资金到位后，达到付款条件起10日内，支付合同总金额的4.16%</w:t>
            </w:r>
          </w:p>
          <w:p w14:paraId="6CD1627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8、采购人按照月支付，中标人完成月绿化养护工作，并经采购人和中标人双方共同核定的月养护经费后，待财政资金到位后，达到付款条件起10日内，支付合同总金额的4.16%</w:t>
            </w:r>
          </w:p>
          <w:p w14:paraId="5ACFAD0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9、采购人按照月支付，中标人完成月绿化养护工作，并经采购人和中标人双方共同核定的月养护经费后，待财政资金到位后，达到付款条件起10日内，支付合同总金额的4.16%</w:t>
            </w:r>
          </w:p>
          <w:p w14:paraId="566D695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10、采购人按照月支付，中标人完成月绿化养护工作，并经采购人和中标人双方共同核定的月养护经费后，待财政资金到位后，达到付款条件起10日内，支付合同总金额的4.16%</w:t>
            </w:r>
          </w:p>
          <w:p w14:paraId="58E77EC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11、采购人按照月支付，中标人完成月绿化养护工作，并经采购人和中标人双方共同核定的月养护经费后，待财政资金到位后，达到付款条件起10日内，支付合同总金额的4.16%</w:t>
            </w:r>
          </w:p>
          <w:p w14:paraId="315EF8B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12、采购人按照月支付，中标人完成月绿化养护工作，并经采购人和中标人双方共同核定的月养护经费后，待财政资金到位后，达到付款条件起10日内，支付合同总金额的4.16%</w:t>
            </w:r>
          </w:p>
          <w:p w14:paraId="11CB07E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13、采购人按照月支付，中标人完成月绿化养护工作，并经采购人和中标人双方共同核定的月养护经费后，待财政资金到位后，达到付款条件起10日内，支付合同总金额的4.16%</w:t>
            </w:r>
          </w:p>
          <w:p w14:paraId="2C5C7B4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14、采购人按照月支付，中标人完成月绿化养护工作，并经采购人和中标人双方共同核定的月养护经费后，待财政资金到位后，达到付款条件起10日内，支付合同总金额的4.16%</w:t>
            </w:r>
          </w:p>
          <w:p w14:paraId="2578EFE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15、采购人按照月支付，中标人完成月绿化养护工作，并经采购人和中标人双方共同核定的月养护经费后，待财政资金到位后，达到付款条件起10日内，支付合同总金额的4.16%</w:t>
            </w:r>
          </w:p>
          <w:p w14:paraId="02C40E8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16、采购人按照月支付，中标人完成月绿化养护工作，并经采购人和中标人双方共同核定的月养护经费后，待财政资金到位后，达到付款条件起10日内，支付合同总金额的4.16%</w:t>
            </w:r>
          </w:p>
          <w:p w14:paraId="53E0304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17、采购人按照月支付，中标人完成月绿化养护工作，并经采购人和中标人双方共同核定的月养护经费后，待财政资金到位后，达到付款条件起10日内，支付合同总金额的4.16%</w:t>
            </w:r>
          </w:p>
          <w:p w14:paraId="384449D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18、采购人按照月支付，中标人完成月绿化养护工作，并经采购人和中标人双方共同核定的月养护经费后，待财政资金到位后，达到付款条件起10日内，支付合同总金额的4.16%</w:t>
            </w:r>
          </w:p>
          <w:p w14:paraId="6EBD8FB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19、采购人按照月支付，中标人完成月绿化养护工作，并经采购人和中标人双方共同核定的月养护经费后，待财政资金到位后，达到付款条件起10日内，支付合同总金额的4.16%</w:t>
            </w:r>
          </w:p>
          <w:p w14:paraId="510B183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20、采购人按照月支付，中标人完成月绿化养护工作，并经采购人和中标人双方共同核定的月养护经费后，待财政资金到位后，达到付款条件起10日内，支付合同总金额的4.16%</w:t>
            </w:r>
          </w:p>
          <w:p w14:paraId="70F30CA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21、采购人按照月支付，中标人完成月绿化养护工作，并经采购人和中标人双方共同核定的月养护经费后，待财政资金到位后，达到付款条件起10日内，支付合同总金额的4.16%</w:t>
            </w:r>
          </w:p>
          <w:p w14:paraId="58104A3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22、采购人按照月支付，中标人完成月绿化养护工作，并经采购人和中标人双方共同核定的月养护经费后，待财政资金到位后，达到付款条件起10日内，支付合同总金额的4.16%</w:t>
            </w:r>
          </w:p>
          <w:p w14:paraId="73010B2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23、采购人按照月支付，中标人完成月绿化养护工作，并经采购人和中标人双方共同核定的月养护经费后，待财政资金到位后，达到付款条件起10日内，支付合同总金额的4.16%</w:t>
            </w:r>
          </w:p>
          <w:p w14:paraId="13942ED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24、采购人按照月支付，中标人完成月绿化养护工作，并经采购人和中标人双方共同核定的月养护经费后，待财政资金到位后，达到付款条件起10日内，支付合同总金额的4.32%</w:t>
            </w:r>
          </w:p>
        </w:tc>
      </w:tr>
      <w:tr w14:paraId="4020A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14:paraId="2848DE6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241" w:type="dxa"/>
          </w:tcPr>
          <w:p w14:paraId="169DEFB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5" w:type="dxa"/>
          </w:tcPr>
          <w:p w14:paraId="1FC928C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5025" w:type="dxa"/>
          </w:tcPr>
          <w:p w14:paraId="2000F10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缴纳, 本采购包履约保证金为合同金额的3.0%</w:t>
            </w:r>
          </w:p>
          <w:p w14:paraId="02CCE1D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说明：中标通知书发出后，合同签订前，中标人须以支票、汇票、本票或者金融机构、担保机构出具的保函等非现金形式向招标人缴纳合同金额3%的履约保证金；在合同期内未出现违约现象及采购人利益受损的情况下，合同到期时无息退还。如中标人违约，不予退还履约保证金，若造成采购人经济损失的，采购人有权向中标人追偿。</w:t>
            </w:r>
          </w:p>
        </w:tc>
      </w:tr>
    </w:tbl>
    <w:p w14:paraId="69F66BE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其他商务要求</w:t>
      </w:r>
    </w:p>
    <w:p w14:paraId="51F0969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8.考核验收</w:t>
      </w:r>
    </w:p>
    <w:p w14:paraId="33061194">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8.1福州市乌龙江公园园林绿化养护质量考核标准与评分依据</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527"/>
        <w:gridCol w:w="2799"/>
        <w:gridCol w:w="4258"/>
      </w:tblGrid>
      <w:tr w14:paraId="569AF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center"/>
          </w:tcPr>
          <w:p w14:paraId="7A0741D2">
            <w:pPr>
              <w:pStyle w:val="6"/>
              <w:jc w:val="center"/>
              <w:rPr>
                <w:rFonts w:hint="default"/>
                <w:bCs/>
                <w:color w:val="auto"/>
                <w:highlight w:val="none"/>
              </w:rPr>
            </w:pPr>
            <w:r>
              <w:rPr>
                <w:rFonts w:ascii="宋体" w:hAnsi="宋体" w:eastAsia="宋体" w:cs="宋体"/>
                <w:bCs/>
                <w:color w:val="auto"/>
                <w:sz w:val="24"/>
                <w:highlight w:val="none"/>
              </w:rPr>
              <w:t>项目</w:t>
            </w:r>
          </w:p>
        </w:tc>
        <w:tc>
          <w:tcPr>
            <w:tcW w:w="527"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center"/>
          </w:tcPr>
          <w:p w14:paraId="0619A730">
            <w:pPr>
              <w:pStyle w:val="6"/>
              <w:jc w:val="center"/>
              <w:rPr>
                <w:rFonts w:hint="default"/>
                <w:bCs/>
                <w:color w:val="auto"/>
                <w:highlight w:val="none"/>
              </w:rPr>
            </w:pPr>
            <w:r>
              <w:rPr>
                <w:rFonts w:ascii="宋体" w:hAnsi="宋体" w:eastAsia="宋体" w:cs="宋体"/>
                <w:bCs/>
                <w:color w:val="auto"/>
                <w:sz w:val="24"/>
                <w:highlight w:val="none"/>
              </w:rPr>
              <w:t>标准分</w:t>
            </w:r>
          </w:p>
        </w:tc>
        <w:tc>
          <w:tcPr>
            <w:tcW w:w="2799"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center"/>
          </w:tcPr>
          <w:p w14:paraId="535BB2EC">
            <w:pPr>
              <w:pStyle w:val="6"/>
              <w:ind w:firstLine="380"/>
              <w:jc w:val="center"/>
              <w:rPr>
                <w:rFonts w:hint="default"/>
                <w:bCs/>
                <w:color w:val="auto"/>
                <w:highlight w:val="none"/>
              </w:rPr>
            </w:pPr>
            <w:r>
              <w:rPr>
                <w:rFonts w:ascii="宋体" w:hAnsi="宋体" w:eastAsia="宋体" w:cs="宋体"/>
                <w:bCs/>
                <w:color w:val="auto"/>
                <w:sz w:val="24"/>
                <w:highlight w:val="none"/>
              </w:rPr>
              <w:t>养护质量标准</w:t>
            </w:r>
          </w:p>
        </w:tc>
        <w:tc>
          <w:tcPr>
            <w:tcW w:w="4258"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center"/>
          </w:tcPr>
          <w:p w14:paraId="3BF4809A">
            <w:pPr>
              <w:pStyle w:val="6"/>
              <w:ind w:firstLine="380"/>
              <w:jc w:val="center"/>
              <w:rPr>
                <w:rFonts w:hint="default"/>
                <w:bCs/>
                <w:color w:val="auto"/>
                <w:highlight w:val="none"/>
              </w:rPr>
            </w:pPr>
            <w:r>
              <w:rPr>
                <w:rFonts w:ascii="宋体" w:hAnsi="宋体" w:eastAsia="宋体" w:cs="宋体"/>
                <w:bCs/>
                <w:color w:val="auto"/>
                <w:sz w:val="24"/>
                <w:highlight w:val="none"/>
              </w:rPr>
              <w:t>考核评分办法</w:t>
            </w:r>
          </w:p>
        </w:tc>
      </w:tr>
      <w:tr w14:paraId="42273D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2D772342">
            <w:pPr>
              <w:pStyle w:val="6"/>
              <w:jc w:val="center"/>
              <w:rPr>
                <w:rFonts w:hint="default"/>
                <w:bCs/>
                <w:color w:val="auto"/>
                <w:highlight w:val="none"/>
              </w:rPr>
            </w:pPr>
            <w:r>
              <w:rPr>
                <w:rFonts w:ascii="宋体" w:hAnsi="宋体" w:eastAsia="宋体" w:cs="宋体"/>
                <w:bCs/>
                <w:color w:val="auto"/>
                <w:sz w:val="24"/>
                <w:highlight w:val="none"/>
              </w:rPr>
              <w:t>景观效果(5分)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77653A4">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BECA126">
            <w:pPr>
              <w:pStyle w:val="6"/>
              <w:ind w:firstLine="380"/>
              <w:jc w:val="both"/>
              <w:rPr>
                <w:rFonts w:hint="default"/>
                <w:bCs/>
                <w:color w:val="auto"/>
                <w:highlight w:val="none"/>
              </w:rPr>
            </w:pPr>
            <w:r>
              <w:rPr>
                <w:rFonts w:ascii="宋体" w:hAnsi="宋体" w:eastAsia="宋体" w:cs="宋体"/>
                <w:bCs/>
                <w:color w:val="auto"/>
                <w:sz w:val="24"/>
                <w:highlight w:val="none"/>
              </w:rPr>
              <w:t>总体景观效果好。养护基本到位、得当，达到黄土不裸露。</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790D3086">
            <w:pPr>
              <w:pStyle w:val="6"/>
              <w:ind w:firstLine="380"/>
              <w:jc w:val="both"/>
              <w:rPr>
                <w:rFonts w:hint="default"/>
                <w:bCs/>
                <w:color w:val="auto"/>
                <w:highlight w:val="none"/>
              </w:rPr>
            </w:pPr>
            <w:r>
              <w:rPr>
                <w:rFonts w:ascii="宋体" w:hAnsi="宋体" w:eastAsia="宋体" w:cs="宋体"/>
                <w:bCs/>
                <w:color w:val="auto"/>
                <w:sz w:val="24"/>
                <w:highlight w:val="none"/>
              </w:rPr>
              <w:t>总体景观效果一般的扣1分，景观效果较差的扣2-4分。</w:t>
            </w:r>
          </w:p>
        </w:tc>
      </w:tr>
      <w:tr w14:paraId="44549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419DB263">
            <w:pPr>
              <w:pStyle w:val="6"/>
              <w:jc w:val="center"/>
              <w:rPr>
                <w:rFonts w:hint="default"/>
                <w:bCs/>
                <w:color w:val="auto"/>
                <w:highlight w:val="none"/>
              </w:rPr>
            </w:pPr>
            <w:r>
              <w:rPr>
                <w:rFonts w:ascii="宋体" w:hAnsi="宋体" w:eastAsia="宋体" w:cs="宋体"/>
                <w:bCs/>
                <w:color w:val="auto"/>
                <w:sz w:val="24"/>
                <w:highlight w:val="none"/>
              </w:rPr>
              <w:t>植物生长状况(15分)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34248AB">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4675CDB">
            <w:pPr>
              <w:pStyle w:val="6"/>
              <w:ind w:firstLine="380"/>
              <w:jc w:val="both"/>
              <w:rPr>
                <w:rFonts w:hint="default"/>
                <w:bCs/>
                <w:color w:val="auto"/>
                <w:highlight w:val="none"/>
              </w:rPr>
            </w:pPr>
            <w:r>
              <w:rPr>
                <w:rFonts w:ascii="宋体" w:hAnsi="宋体" w:eastAsia="宋体" w:cs="宋体"/>
                <w:bCs/>
                <w:color w:val="auto"/>
                <w:sz w:val="24"/>
                <w:highlight w:val="none"/>
              </w:rPr>
              <w:t>植株长势良好，无枯枝、死枝、徒长枝，病虫枝不超过5%。</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CD0DECD">
            <w:pPr>
              <w:pStyle w:val="6"/>
              <w:ind w:firstLine="380"/>
              <w:jc w:val="both"/>
              <w:rPr>
                <w:rFonts w:hint="default"/>
                <w:bCs/>
                <w:color w:val="auto"/>
                <w:highlight w:val="none"/>
              </w:rPr>
            </w:pPr>
            <w:r>
              <w:rPr>
                <w:rFonts w:ascii="宋体" w:hAnsi="宋体" w:eastAsia="宋体" w:cs="宋体"/>
                <w:bCs/>
                <w:color w:val="auto"/>
                <w:sz w:val="24"/>
                <w:highlight w:val="none"/>
              </w:rPr>
              <w:t>植株长势不良扣0.1分/株；枯枝、死枝、徒长枝扣0.1分/株；病虫枝超过5%扣0.1分/株。地被每100平方米有2%面积生长不良的扣0.1分。乔灌木以株为单位，地被以100平方米为单位。</w:t>
            </w:r>
          </w:p>
        </w:tc>
      </w:tr>
      <w:tr w14:paraId="7BFC2D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0D5F015E">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A7E6662">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7A05CFC">
            <w:pPr>
              <w:pStyle w:val="6"/>
              <w:ind w:firstLine="380"/>
              <w:jc w:val="both"/>
              <w:rPr>
                <w:rFonts w:hint="default"/>
                <w:bCs/>
                <w:color w:val="auto"/>
                <w:highlight w:val="none"/>
              </w:rPr>
            </w:pPr>
            <w:r>
              <w:rPr>
                <w:rFonts w:ascii="宋体" w:hAnsi="宋体" w:eastAsia="宋体" w:cs="宋体"/>
                <w:bCs/>
                <w:color w:val="auto"/>
                <w:sz w:val="24"/>
                <w:highlight w:val="none"/>
              </w:rPr>
              <w:t>树冠完整，内膛枝疏密得当，通风透光良好。</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3ECFB9D">
            <w:pPr>
              <w:pStyle w:val="6"/>
              <w:ind w:firstLine="380"/>
              <w:jc w:val="both"/>
              <w:rPr>
                <w:rFonts w:hint="default"/>
                <w:bCs/>
                <w:color w:val="auto"/>
                <w:highlight w:val="none"/>
              </w:rPr>
            </w:pPr>
            <w:r>
              <w:rPr>
                <w:rFonts w:ascii="宋体" w:hAnsi="宋体" w:eastAsia="宋体" w:cs="宋体"/>
                <w:bCs/>
                <w:color w:val="auto"/>
                <w:sz w:val="24"/>
                <w:highlight w:val="none"/>
              </w:rPr>
              <w:t>树冠不完整或偏冠扣0.2-0.5分/株；内膛过密、通风透光不良扣0.2分/株。</w:t>
            </w:r>
          </w:p>
        </w:tc>
      </w:tr>
      <w:tr w14:paraId="42965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1FA5D65E">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78C40F53">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45C02C9">
            <w:pPr>
              <w:pStyle w:val="6"/>
              <w:ind w:firstLine="380"/>
              <w:jc w:val="both"/>
              <w:rPr>
                <w:rFonts w:hint="default"/>
                <w:bCs/>
                <w:color w:val="auto"/>
                <w:highlight w:val="none"/>
              </w:rPr>
            </w:pPr>
            <w:r>
              <w:rPr>
                <w:rFonts w:ascii="宋体" w:hAnsi="宋体" w:eastAsia="宋体" w:cs="宋体"/>
                <w:bCs/>
                <w:color w:val="auto"/>
                <w:sz w:val="24"/>
                <w:highlight w:val="none"/>
              </w:rPr>
              <w:t>叶色、叶形基本正常，有少量黄叶(生长季节)、焦叶、卷叶，叶面干净。</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0CDD7F7D">
            <w:pPr>
              <w:pStyle w:val="6"/>
              <w:ind w:firstLine="380"/>
              <w:jc w:val="both"/>
              <w:rPr>
                <w:rFonts w:hint="default"/>
                <w:bCs/>
                <w:color w:val="auto"/>
                <w:highlight w:val="none"/>
              </w:rPr>
            </w:pPr>
            <w:r>
              <w:rPr>
                <w:rFonts w:ascii="宋体" w:hAnsi="宋体" w:eastAsia="宋体" w:cs="宋体"/>
                <w:bCs/>
                <w:color w:val="auto"/>
                <w:sz w:val="24"/>
                <w:highlight w:val="none"/>
              </w:rPr>
              <w:t>叶色、叶形不正常(黄叶、焦叶、卷叶)扣0.2分/株；叶上有明显虫粪、虫网、积尘，扣0.2分/株。乔灌木以株为单位，地被以100平方米为单位。</w:t>
            </w:r>
          </w:p>
        </w:tc>
      </w:tr>
      <w:tr w14:paraId="5700FF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4565F3FF">
            <w:pPr>
              <w:pStyle w:val="6"/>
              <w:jc w:val="center"/>
              <w:rPr>
                <w:rFonts w:hint="default"/>
                <w:bCs/>
                <w:color w:val="auto"/>
                <w:highlight w:val="none"/>
              </w:rPr>
            </w:pPr>
            <w:r>
              <w:rPr>
                <w:rFonts w:ascii="宋体" w:hAnsi="宋体" w:eastAsia="宋体" w:cs="宋体"/>
                <w:bCs/>
                <w:color w:val="auto"/>
                <w:sz w:val="24"/>
                <w:highlight w:val="none"/>
              </w:rPr>
              <w:t>植物养护状况(50分)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0FB983FA">
            <w:pPr>
              <w:pStyle w:val="6"/>
              <w:jc w:val="center"/>
              <w:rPr>
                <w:rFonts w:hint="default"/>
                <w:bCs/>
                <w:color w:val="auto"/>
                <w:highlight w:val="none"/>
              </w:rPr>
            </w:pPr>
            <w:r>
              <w:rPr>
                <w:rFonts w:ascii="宋体" w:hAnsi="宋体" w:eastAsia="宋体" w:cs="宋体"/>
                <w:bCs/>
                <w:color w:val="auto"/>
                <w:sz w:val="24"/>
                <w:highlight w:val="none"/>
              </w:rPr>
              <w:t>8</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AC86D7A">
            <w:pPr>
              <w:pStyle w:val="6"/>
              <w:ind w:firstLine="380"/>
              <w:jc w:val="both"/>
              <w:rPr>
                <w:rFonts w:hint="default"/>
                <w:bCs/>
                <w:color w:val="auto"/>
                <w:highlight w:val="none"/>
              </w:rPr>
            </w:pPr>
            <w:r>
              <w:rPr>
                <w:rFonts w:ascii="宋体" w:hAnsi="宋体" w:eastAsia="宋体" w:cs="宋体"/>
                <w:bCs/>
                <w:color w:val="auto"/>
                <w:sz w:val="24"/>
                <w:highlight w:val="none"/>
              </w:rPr>
              <w:t>①生长正常，树冠基本完整，主侧枝分枝基本均匀，数量适宜，内膛通风透光。</w:t>
            </w:r>
          </w:p>
          <w:p w14:paraId="6648B6D7">
            <w:pPr>
              <w:pStyle w:val="6"/>
              <w:ind w:firstLine="380"/>
              <w:jc w:val="both"/>
              <w:rPr>
                <w:rFonts w:hint="default"/>
                <w:bCs/>
                <w:color w:val="auto"/>
                <w:highlight w:val="none"/>
              </w:rPr>
            </w:pPr>
            <w:r>
              <w:rPr>
                <w:rFonts w:ascii="宋体" w:hAnsi="宋体" w:eastAsia="宋体" w:cs="宋体"/>
                <w:bCs/>
                <w:color w:val="auto"/>
                <w:sz w:val="24"/>
                <w:highlight w:val="none"/>
              </w:rPr>
              <w:t>②灌木缺株在4%以下(含4%)。树池内地被植物修剪整齐。</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001017B4">
            <w:pPr>
              <w:pStyle w:val="6"/>
              <w:ind w:firstLine="380"/>
              <w:jc w:val="both"/>
              <w:rPr>
                <w:rFonts w:hint="default"/>
                <w:bCs/>
                <w:color w:val="auto"/>
                <w:highlight w:val="none"/>
              </w:rPr>
            </w:pPr>
            <w:r>
              <w:rPr>
                <w:rFonts w:ascii="宋体" w:hAnsi="宋体" w:eastAsia="宋体" w:cs="宋体"/>
                <w:bCs/>
                <w:color w:val="auto"/>
                <w:sz w:val="24"/>
                <w:highlight w:val="none"/>
              </w:rPr>
              <w:t>缺株、死株、明显倾斜或倒伏未在10日内补种或扶正，扣0.5分/株；乔木分支点影响行人过往，扣0.2分/株；修剪后未涂抹伤口，扣0.5分/株；乔灌木以株为单位，地被以100平方米为单位。</w:t>
            </w:r>
          </w:p>
        </w:tc>
      </w:tr>
      <w:tr w14:paraId="3FBC4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544B6542">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424DD286">
            <w:pPr>
              <w:pStyle w:val="6"/>
              <w:jc w:val="center"/>
              <w:rPr>
                <w:rFonts w:hint="default"/>
                <w:bCs/>
                <w:color w:val="auto"/>
                <w:highlight w:val="none"/>
              </w:rPr>
            </w:pPr>
            <w:r>
              <w:rPr>
                <w:rFonts w:ascii="宋体" w:hAnsi="宋体" w:eastAsia="宋体" w:cs="宋体"/>
                <w:bCs/>
                <w:color w:val="auto"/>
                <w:sz w:val="24"/>
                <w:highlight w:val="none"/>
              </w:rPr>
              <w:t>6</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6D40C49">
            <w:pPr>
              <w:pStyle w:val="6"/>
              <w:ind w:firstLine="380"/>
              <w:jc w:val="both"/>
              <w:rPr>
                <w:rFonts w:hint="default"/>
                <w:bCs/>
                <w:color w:val="auto"/>
                <w:highlight w:val="none"/>
              </w:rPr>
            </w:pPr>
            <w:r>
              <w:rPr>
                <w:rFonts w:ascii="宋体" w:hAnsi="宋体" w:eastAsia="宋体" w:cs="宋体"/>
                <w:bCs/>
                <w:color w:val="auto"/>
                <w:sz w:val="24"/>
                <w:highlight w:val="none"/>
              </w:rPr>
              <w:t>花灌木：开花率大于60%，残花败叶及时清理。</w:t>
            </w:r>
          </w:p>
          <w:p w14:paraId="0FEC104B">
            <w:pPr>
              <w:pStyle w:val="6"/>
              <w:ind w:firstLine="380"/>
              <w:jc w:val="both"/>
              <w:rPr>
                <w:rFonts w:hint="default"/>
                <w:bCs/>
                <w:color w:val="auto"/>
                <w:highlight w:val="none"/>
              </w:rPr>
            </w:pPr>
            <w:r>
              <w:rPr>
                <w:rFonts w:ascii="宋体" w:hAnsi="宋体" w:eastAsia="宋体" w:cs="宋体"/>
                <w:bCs/>
                <w:color w:val="auto"/>
                <w:sz w:val="24"/>
                <w:highlight w:val="none"/>
              </w:rPr>
              <w:t>花卉：①花卉植株生长良好，花色艳丽，具有一定的株行距，不露底土。</w:t>
            </w:r>
          </w:p>
          <w:p w14:paraId="170BB04B">
            <w:pPr>
              <w:pStyle w:val="6"/>
              <w:ind w:firstLine="380"/>
              <w:jc w:val="both"/>
              <w:rPr>
                <w:rFonts w:hint="default"/>
                <w:bCs/>
                <w:color w:val="auto"/>
                <w:highlight w:val="none"/>
              </w:rPr>
            </w:pPr>
            <w:r>
              <w:rPr>
                <w:rFonts w:ascii="宋体" w:hAnsi="宋体" w:eastAsia="宋体" w:cs="宋体"/>
                <w:bCs/>
                <w:color w:val="auto"/>
                <w:sz w:val="24"/>
                <w:highlight w:val="none"/>
              </w:rPr>
              <w:t>②花卉生长正常，缺株、倒伏不超过3处，无枯枝残花。</w:t>
            </w:r>
          </w:p>
          <w:p w14:paraId="4548B8BC">
            <w:pPr>
              <w:pStyle w:val="6"/>
              <w:ind w:firstLine="380"/>
              <w:jc w:val="both"/>
              <w:rPr>
                <w:rFonts w:hint="default"/>
                <w:bCs/>
                <w:color w:val="auto"/>
                <w:highlight w:val="none"/>
              </w:rPr>
            </w:pPr>
            <w:r>
              <w:rPr>
                <w:rFonts w:ascii="宋体" w:hAnsi="宋体" w:eastAsia="宋体" w:cs="宋体"/>
                <w:bCs/>
                <w:color w:val="auto"/>
                <w:sz w:val="24"/>
                <w:highlight w:val="none"/>
              </w:rPr>
              <w:t>③花期基本一致。</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CCBA9EE">
            <w:pPr>
              <w:pStyle w:val="6"/>
              <w:ind w:firstLine="380"/>
              <w:jc w:val="both"/>
              <w:rPr>
                <w:rFonts w:hint="default"/>
                <w:bCs/>
                <w:color w:val="auto"/>
                <w:highlight w:val="none"/>
              </w:rPr>
            </w:pPr>
            <w:r>
              <w:rPr>
                <w:rFonts w:ascii="宋体" w:hAnsi="宋体" w:eastAsia="宋体" w:cs="宋体"/>
                <w:bCs/>
                <w:color w:val="auto"/>
                <w:sz w:val="24"/>
                <w:highlight w:val="none"/>
              </w:rPr>
              <w:t>花灌木开花率小于60%，扣1-3分；残花败叶未及时清理，扣0.2分/株(㎡)；死株、缺株扣0.2分/棵。</w:t>
            </w:r>
          </w:p>
          <w:p w14:paraId="0B134133">
            <w:pPr>
              <w:pStyle w:val="6"/>
              <w:ind w:firstLine="380"/>
              <w:jc w:val="both"/>
              <w:rPr>
                <w:rFonts w:hint="default"/>
                <w:bCs/>
                <w:color w:val="auto"/>
                <w:highlight w:val="none"/>
              </w:rPr>
            </w:pPr>
          </w:p>
        </w:tc>
      </w:tr>
      <w:tr w14:paraId="3E7CE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4BCDE23E">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15B19C0">
            <w:pPr>
              <w:pStyle w:val="6"/>
              <w:jc w:val="center"/>
              <w:rPr>
                <w:rFonts w:hint="default"/>
                <w:bCs/>
                <w:color w:val="auto"/>
                <w:highlight w:val="none"/>
              </w:rPr>
            </w:pPr>
            <w:r>
              <w:rPr>
                <w:rFonts w:ascii="宋体" w:hAnsi="宋体" w:eastAsia="宋体" w:cs="宋体"/>
                <w:bCs/>
                <w:color w:val="auto"/>
                <w:sz w:val="24"/>
                <w:highlight w:val="none"/>
              </w:rPr>
              <w:t>6</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6831544">
            <w:pPr>
              <w:pStyle w:val="6"/>
              <w:ind w:firstLine="380"/>
              <w:jc w:val="both"/>
              <w:rPr>
                <w:rFonts w:hint="default"/>
                <w:bCs/>
                <w:color w:val="auto"/>
                <w:highlight w:val="none"/>
              </w:rPr>
            </w:pPr>
            <w:r>
              <w:rPr>
                <w:rFonts w:ascii="宋体" w:hAnsi="宋体" w:eastAsia="宋体" w:cs="宋体"/>
                <w:bCs/>
                <w:color w:val="auto"/>
                <w:sz w:val="24"/>
                <w:highlight w:val="none"/>
              </w:rPr>
              <w:t>绿篱及地被：①生长正常。无明显枯枝、断枝。</w:t>
            </w:r>
          </w:p>
          <w:p w14:paraId="593613EC">
            <w:pPr>
              <w:pStyle w:val="6"/>
              <w:ind w:firstLine="380"/>
              <w:jc w:val="both"/>
              <w:rPr>
                <w:rFonts w:hint="default"/>
                <w:bCs/>
                <w:color w:val="auto"/>
                <w:highlight w:val="none"/>
              </w:rPr>
            </w:pPr>
            <w:r>
              <w:rPr>
                <w:rFonts w:ascii="宋体" w:hAnsi="宋体" w:eastAsia="宋体" w:cs="宋体"/>
                <w:bCs/>
                <w:color w:val="auto"/>
                <w:sz w:val="24"/>
                <w:highlight w:val="none"/>
              </w:rPr>
              <w:t>②修剪及时，形状较完整。</w:t>
            </w:r>
          </w:p>
          <w:p w14:paraId="53E7DDE2">
            <w:pPr>
              <w:pStyle w:val="6"/>
              <w:ind w:firstLine="380"/>
              <w:jc w:val="both"/>
              <w:rPr>
                <w:rFonts w:hint="default"/>
                <w:bCs/>
                <w:color w:val="auto"/>
                <w:highlight w:val="none"/>
              </w:rPr>
            </w:pPr>
            <w:r>
              <w:rPr>
                <w:rFonts w:ascii="宋体" w:hAnsi="宋体" w:eastAsia="宋体" w:cs="宋体"/>
                <w:bCs/>
                <w:color w:val="auto"/>
                <w:sz w:val="24"/>
                <w:highlight w:val="none"/>
              </w:rPr>
              <w:t>③绿篱无空缺、断层，下部无光秃，地被无缺株断行。</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D16542E">
            <w:pPr>
              <w:pStyle w:val="6"/>
              <w:ind w:firstLine="380"/>
              <w:jc w:val="both"/>
              <w:rPr>
                <w:rFonts w:hint="default"/>
                <w:bCs/>
                <w:color w:val="auto"/>
                <w:highlight w:val="none"/>
              </w:rPr>
            </w:pPr>
            <w:r>
              <w:rPr>
                <w:rFonts w:ascii="宋体" w:hAnsi="宋体" w:eastAsia="宋体" w:cs="宋体"/>
                <w:bCs/>
                <w:color w:val="auto"/>
                <w:sz w:val="24"/>
                <w:highlight w:val="none"/>
              </w:rPr>
              <w:t>绿篱、色块整体生长不良，扣1-2分；绿篱、色块不整齐扣0.1分/㎡,破残、缺株、死株扣0.2分/㎡，有10cm以上徒长枝的，扣0.1分/处；杂草扣0.1分/㎡。</w:t>
            </w:r>
          </w:p>
          <w:p w14:paraId="04C36B91">
            <w:pPr>
              <w:pStyle w:val="6"/>
              <w:ind w:firstLine="380"/>
              <w:jc w:val="both"/>
              <w:rPr>
                <w:rFonts w:hint="default"/>
                <w:bCs/>
                <w:color w:val="auto"/>
                <w:highlight w:val="none"/>
              </w:rPr>
            </w:pPr>
          </w:p>
        </w:tc>
      </w:tr>
      <w:tr w14:paraId="6546A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30D3A67D">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3FA5BB1">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B620E62">
            <w:pPr>
              <w:pStyle w:val="6"/>
              <w:ind w:firstLine="380"/>
              <w:jc w:val="both"/>
              <w:rPr>
                <w:rFonts w:hint="default"/>
                <w:bCs/>
                <w:color w:val="auto"/>
                <w:highlight w:val="none"/>
              </w:rPr>
            </w:pPr>
            <w:r>
              <w:rPr>
                <w:rFonts w:ascii="宋体" w:hAnsi="宋体" w:eastAsia="宋体" w:cs="宋体"/>
                <w:bCs/>
                <w:color w:val="auto"/>
                <w:sz w:val="24"/>
                <w:highlight w:val="none"/>
              </w:rPr>
              <w:t>草坪：①生长良好，杂草率≤5%，覆盖率达95%以上。</w:t>
            </w:r>
          </w:p>
          <w:p w14:paraId="1EC608AD">
            <w:pPr>
              <w:pStyle w:val="6"/>
              <w:ind w:firstLine="380"/>
              <w:jc w:val="both"/>
              <w:rPr>
                <w:rFonts w:hint="default"/>
                <w:bCs/>
                <w:color w:val="auto"/>
                <w:highlight w:val="none"/>
              </w:rPr>
            </w:pPr>
            <w:r>
              <w:rPr>
                <w:rFonts w:ascii="宋体" w:hAnsi="宋体" w:eastAsia="宋体" w:cs="宋体"/>
                <w:bCs/>
                <w:color w:val="auto"/>
                <w:sz w:val="24"/>
                <w:highlight w:val="none"/>
              </w:rPr>
              <w:t>②修剪高度符合要求，能及时处理坑洼积水和堆料堆物。</w:t>
            </w:r>
          </w:p>
          <w:p w14:paraId="0F273D6C">
            <w:pPr>
              <w:pStyle w:val="6"/>
              <w:ind w:firstLine="380"/>
              <w:jc w:val="both"/>
              <w:rPr>
                <w:rFonts w:hint="default"/>
                <w:bCs/>
                <w:color w:val="auto"/>
                <w:highlight w:val="none"/>
              </w:rPr>
            </w:pPr>
            <w:r>
              <w:rPr>
                <w:rFonts w:ascii="宋体" w:hAnsi="宋体" w:eastAsia="宋体" w:cs="宋体"/>
                <w:bCs/>
                <w:color w:val="auto"/>
                <w:sz w:val="24"/>
                <w:highlight w:val="none"/>
              </w:rPr>
              <w:t>③单块空秃面积不超过0.2 ㎡。</w:t>
            </w:r>
          </w:p>
          <w:p w14:paraId="7C53AA0A">
            <w:pPr>
              <w:pStyle w:val="6"/>
              <w:ind w:firstLine="380"/>
              <w:jc w:val="both"/>
              <w:rPr>
                <w:rFonts w:hint="default"/>
                <w:bCs/>
                <w:color w:val="auto"/>
                <w:highlight w:val="none"/>
              </w:rPr>
            </w:pPr>
            <w:r>
              <w:rPr>
                <w:rFonts w:ascii="宋体" w:hAnsi="宋体" w:eastAsia="宋体" w:cs="宋体"/>
                <w:bCs/>
                <w:color w:val="auto"/>
                <w:sz w:val="24"/>
                <w:highlight w:val="none"/>
              </w:rPr>
              <w:t>④基本无杂草。无缠绕性、攀援性杂草。杂草高度控制在6cm以下，不影响景观效果。</w:t>
            </w:r>
          </w:p>
        </w:tc>
        <w:tc>
          <w:tcPr>
            <w:tcW w:w="4258"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BB8615E">
            <w:pPr>
              <w:pStyle w:val="6"/>
              <w:ind w:firstLine="380"/>
              <w:jc w:val="both"/>
              <w:rPr>
                <w:rFonts w:hint="default"/>
                <w:bCs/>
                <w:color w:val="auto"/>
                <w:highlight w:val="none"/>
              </w:rPr>
            </w:pPr>
            <w:r>
              <w:rPr>
                <w:rFonts w:ascii="宋体" w:hAnsi="宋体" w:eastAsia="宋体" w:cs="宋体"/>
                <w:bCs/>
                <w:color w:val="auto"/>
                <w:sz w:val="24"/>
                <w:highlight w:val="none"/>
              </w:rPr>
              <w:t>暖季型草坪(如马尼拉)超过5cm高度，扣0.2分/10㎡，冷季型草坪(如高羊茅)超过9cm高度，扣0.2分/10㎡；反季节枯黄、裸地，扣0.1分/㎡；草坪内杂草超过2%且高度超过15cm，扣0.5分/㎡；行道树树穴内有高于15cm杂草的，扣0.3/穴；积水扣0.1分/㎡。</w:t>
            </w:r>
          </w:p>
        </w:tc>
      </w:tr>
      <w:tr w14:paraId="1A70A0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1909BAA6">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2CFE19D">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32C1542C">
            <w:pPr>
              <w:pStyle w:val="6"/>
              <w:ind w:firstLine="380"/>
              <w:jc w:val="both"/>
              <w:rPr>
                <w:rFonts w:hint="default"/>
                <w:bCs/>
                <w:color w:val="auto"/>
                <w:highlight w:val="none"/>
              </w:rPr>
            </w:pPr>
            <w:r>
              <w:rPr>
                <w:rFonts w:ascii="宋体" w:hAnsi="宋体" w:eastAsia="宋体" w:cs="宋体"/>
                <w:bCs/>
                <w:color w:val="auto"/>
                <w:sz w:val="24"/>
                <w:highlight w:val="none"/>
              </w:rPr>
              <w:t>病虫害控制：建立病虫害防治预案和防治计划。食叶性害虫危害的叶片每株小于10%，刺吸性害虫危害的叶片每株小于20%，蛀干性害虫危害率小于5%，无明显危害迹象。</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A66CB39">
            <w:pPr>
              <w:pStyle w:val="6"/>
              <w:ind w:firstLine="380"/>
              <w:jc w:val="both"/>
              <w:rPr>
                <w:rFonts w:hint="default"/>
                <w:bCs/>
                <w:color w:val="auto"/>
                <w:highlight w:val="none"/>
              </w:rPr>
            </w:pPr>
            <w:r>
              <w:rPr>
                <w:rFonts w:ascii="宋体" w:hAnsi="宋体" w:eastAsia="宋体" w:cs="宋体"/>
                <w:bCs/>
                <w:color w:val="auto"/>
                <w:sz w:val="24"/>
                <w:highlight w:val="none"/>
              </w:rPr>
              <w:t>有病虫害危害的，乔灌木扣0.2分/株，绿篱，色块扣0.1分/㎡，草坪扣0.1分/㎡；施药操作不规范，扣1分/处；发生药害事故，该项全扣。无病虫害防治预案和防治计划，扣1分。</w:t>
            </w:r>
          </w:p>
        </w:tc>
      </w:tr>
      <w:tr w14:paraId="53309D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49C41B79">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B47D2CB">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54DE056">
            <w:pPr>
              <w:pStyle w:val="6"/>
              <w:ind w:firstLine="380"/>
              <w:jc w:val="both"/>
              <w:rPr>
                <w:rFonts w:hint="default"/>
                <w:bCs/>
                <w:color w:val="auto"/>
                <w:highlight w:val="none"/>
              </w:rPr>
            </w:pPr>
            <w:r>
              <w:rPr>
                <w:rFonts w:ascii="宋体" w:hAnsi="宋体" w:eastAsia="宋体" w:cs="宋体"/>
                <w:bCs/>
                <w:color w:val="auto"/>
                <w:sz w:val="24"/>
                <w:highlight w:val="none"/>
              </w:rPr>
              <w:t>造型树应及时修剪，形状完好</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6FB90794">
            <w:pPr>
              <w:pStyle w:val="6"/>
              <w:ind w:firstLine="380"/>
              <w:jc w:val="both"/>
              <w:rPr>
                <w:rFonts w:hint="default"/>
                <w:bCs/>
                <w:color w:val="auto"/>
                <w:highlight w:val="none"/>
              </w:rPr>
            </w:pPr>
            <w:r>
              <w:rPr>
                <w:rFonts w:ascii="宋体" w:hAnsi="宋体" w:eastAsia="宋体" w:cs="宋体"/>
                <w:bCs/>
                <w:color w:val="auto"/>
                <w:sz w:val="24"/>
                <w:highlight w:val="none"/>
              </w:rPr>
              <w:t>造型树应修剪而未进行修剪扣0.2分/株，修剪变形扣2-4分/株。</w:t>
            </w:r>
          </w:p>
        </w:tc>
      </w:tr>
      <w:tr w14:paraId="5B7B3E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08E2574F">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3BA51EEB">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38ED2F7D">
            <w:pPr>
              <w:pStyle w:val="6"/>
              <w:ind w:firstLine="380"/>
              <w:jc w:val="both"/>
              <w:rPr>
                <w:rFonts w:hint="default"/>
                <w:bCs/>
                <w:color w:val="auto"/>
                <w:highlight w:val="none"/>
              </w:rPr>
            </w:pPr>
            <w:r>
              <w:rPr>
                <w:rFonts w:ascii="宋体" w:hAnsi="宋体" w:eastAsia="宋体" w:cs="宋体"/>
                <w:bCs/>
                <w:color w:val="auto"/>
                <w:sz w:val="24"/>
                <w:highlight w:val="none"/>
              </w:rPr>
              <w:t>水肥管理：根据当地气候、土壤保水情况，适时适量浇水。</w:t>
            </w:r>
          </w:p>
          <w:p w14:paraId="32180961">
            <w:pPr>
              <w:pStyle w:val="6"/>
              <w:ind w:firstLine="380"/>
              <w:jc w:val="both"/>
              <w:rPr>
                <w:rFonts w:hint="default"/>
                <w:bCs/>
                <w:color w:val="auto"/>
                <w:highlight w:val="none"/>
              </w:rPr>
            </w:pPr>
            <w:r>
              <w:rPr>
                <w:rFonts w:ascii="宋体" w:hAnsi="宋体" w:eastAsia="宋体" w:cs="宋体"/>
                <w:bCs/>
                <w:color w:val="auto"/>
                <w:sz w:val="24"/>
                <w:highlight w:val="none"/>
              </w:rPr>
              <w:t>根据树木生长需要，制定年度施肥计划，合理施肥。</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295E0221">
            <w:pPr>
              <w:pStyle w:val="6"/>
              <w:ind w:firstLine="380"/>
              <w:jc w:val="both"/>
              <w:rPr>
                <w:rFonts w:hint="default"/>
                <w:bCs/>
                <w:color w:val="auto"/>
                <w:highlight w:val="none"/>
              </w:rPr>
            </w:pPr>
            <w:r>
              <w:rPr>
                <w:rFonts w:ascii="宋体" w:hAnsi="宋体" w:eastAsia="宋体" w:cs="宋体"/>
                <w:bCs/>
                <w:color w:val="auto"/>
                <w:sz w:val="24"/>
                <w:highlight w:val="none"/>
              </w:rPr>
              <w:t>无年度施肥计划，扣2分；植株出现缺水症状或缺肥症状或肥害症状，扣1分/株(㎡)。</w:t>
            </w:r>
          </w:p>
        </w:tc>
      </w:tr>
      <w:tr w14:paraId="1B90B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262D3B57">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7B13C9B">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8D690AA">
            <w:pPr>
              <w:pStyle w:val="6"/>
              <w:ind w:firstLine="380"/>
              <w:jc w:val="both"/>
              <w:rPr>
                <w:rFonts w:hint="default"/>
                <w:bCs/>
                <w:color w:val="auto"/>
                <w:highlight w:val="none"/>
              </w:rPr>
            </w:pPr>
            <w:r>
              <w:rPr>
                <w:rFonts w:ascii="宋体" w:hAnsi="宋体" w:eastAsia="宋体" w:cs="宋体"/>
                <w:bCs/>
                <w:color w:val="auto"/>
                <w:sz w:val="24"/>
                <w:highlight w:val="none"/>
              </w:rPr>
              <w:t>防台风措施：台风季节应做好树木的修剪工作，以尽量减少台风危害。对危树应及时采取加固措施。风暴来临时,应将已倒伏而影响交通的树木及时处理。风暴后应及时疏通道路，修剪断折、下垂的枝条；将歪斜、倒伏的树木扶正。</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4FD67567">
            <w:pPr>
              <w:pStyle w:val="6"/>
              <w:ind w:firstLine="380"/>
              <w:jc w:val="both"/>
              <w:rPr>
                <w:rFonts w:hint="default"/>
                <w:bCs/>
                <w:color w:val="auto"/>
                <w:highlight w:val="none"/>
              </w:rPr>
            </w:pPr>
            <w:r>
              <w:rPr>
                <w:rFonts w:ascii="宋体" w:hAnsi="宋体" w:eastAsia="宋体" w:cs="宋体"/>
                <w:bCs/>
                <w:color w:val="auto"/>
                <w:sz w:val="24"/>
                <w:highlight w:val="none"/>
              </w:rPr>
              <w:t>无抗台风防台风预案扣2分；台风后未在36小时内疏通道路，扣1分/处；未在5日内将倒伏树扶正扣0.5分/株</w:t>
            </w:r>
          </w:p>
        </w:tc>
      </w:tr>
      <w:tr w14:paraId="7D9D37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3C17D743">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39E41632">
            <w:pPr>
              <w:pStyle w:val="6"/>
              <w:jc w:val="center"/>
              <w:rPr>
                <w:rFonts w:hint="default"/>
                <w:bCs/>
                <w:color w:val="auto"/>
                <w:highlight w:val="none"/>
              </w:rPr>
            </w:pPr>
            <w:r>
              <w:rPr>
                <w:rFonts w:ascii="宋体" w:hAnsi="宋体" w:eastAsia="宋体" w:cs="宋体"/>
                <w:bCs/>
                <w:color w:val="auto"/>
                <w:sz w:val="24"/>
                <w:highlight w:val="none"/>
              </w:rPr>
              <w:t>5</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7787196C">
            <w:pPr>
              <w:pStyle w:val="6"/>
              <w:ind w:firstLine="380"/>
              <w:jc w:val="both"/>
              <w:rPr>
                <w:rFonts w:hint="default"/>
                <w:bCs/>
                <w:color w:val="auto"/>
                <w:highlight w:val="none"/>
              </w:rPr>
            </w:pPr>
            <w:r>
              <w:rPr>
                <w:rFonts w:ascii="宋体" w:hAnsi="宋体" w:eastAsia="宋体" w:cs="宋体"/>
                <w:bCs/>
                <w:color w:val="auto"/>
                <w:sz w:val="24"/>
                <w:highlight w:val="none"/>
              </w:rPr>
              <w:t>立体绿化、水生植物、花境植物齐整，最佳观赏期后及时修剪、归整</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12168C1B">
            <w:pPr>
              <w:pStyle w:val="6"/>
              <w:ind w:firstLine="380"/>
              <w:jc w:val="both"/>
              <w:rPr>
                <w:rFonts w:hint="default"/>
                <w:bCs/>
                <w:color w:val="auto"/>
                <w:highlight w:val="none"/>
              </w:rPr>
            </w:pPr>
            <w:r>
              <w:rPr>
                <w:rFonts w:ascii="宋体" w:hAnsi="宋体" w:eastAsia="宋体" w:cs="宋体"/>
                <w:bCs/>
                <w:color w:val="auto"/>
                <w:sz w:val="24"/>
                <w:highlight w:val="none"/>
              </w:rPr>
              <w:t>立体绿化、水生植物、花境植物内容残缺，景观效果差扣1分；最佳观赏期后未及时修剪、归整，扣1分/处</w:t>
            </w:r>
          </w:p>
          <w:p w14:paraId="42452BDA">
            <w:pPr>
              <w:pStyle w:val="6"/>
              <w:ind w:firstLine="380"/>
              <w:jc w:val="both"/>
              <w:rPr>
                <w:rFonts w:hint="default"/>
                <w:bCs/>
                <w:color w:val="auto"/>
                <w:highlight w:val="none"/>
              </w:rPr>
            </w:pPr>
          </w:p>
        </w:tc>
      </w:tr>
      <w:tr w14:paraId="72799B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1FCE0488">
            <w:pPr>
              <w:pStyle w:val="6"/>
              <w:jc w:val="center"/>
              <w:rPr>
                <w:rFonts w:hint="default"/>
                <w:bCs/>
                <w:color w:val="auto"/>
                <w:highlight w:val="none"/>
              </w:rPr>
            </w:pPr>
            <w:r>
              <w:rPr>
                <w:rFonts w:ascii="宋体" w:hAnsi="宋体" w:eastAsia="宋体" w:cs="宋体"/>
                <w:bCs/>
                <w:color w:val="auto"/>
                <w:sz w:val="24"/>
                <w:highlight w:val="none"/>
              </w:rPr>
              <w:t>卫生保洁(10分)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4049EE6B">
            <w:pPr>
              <w:pStyle w:val="6"/>
              <w:jc w:val="center"/>
              <w:rPr>
                <w:rFonts w:hint="default"/>
                <w:bCs/>
                <w:color w:val="auto"/>
                <w:highlight w:val="none"/>
              </w:rPr>
            </w:pPr>
            <w:r>
              <w:rPr>
                <w:rFonts w:ascii="宋体" w:hAnsi="宋体" w:eastAsia="宋体" w:cs="宋体"/>
                <w:bCs/>
                <w:color w:val="auto"/>
                <w:sz w:val="24"/>
                <w:highlight w:val="none"/>
              </w:rPr>
              <w:t>3</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72559BB5">
            <w:pPr>
              <w:pStyle w:val="6"/>
              <w:ind w:firstLine="380"/>
              <w:jc w:val="both"/>
              <w:rPr>
                <w:rFonts w:hint="default"/>
                <w:bCs/>
                <w:color w:val="auto"/>
                <w:highlight w:val="none"/>
              </w:rPr>
            </w:pPr>
            <w:r>
              <w:rPr>
                <w:rFonts w:ascii="宋体" w:hAnsi="宋体" w:eastAsia="宋体" w:cs="宋体"/>
                <w:bCs/>
                <w:color w:val="auto"/>
                <w:sz w:val="24"/>
                <w:highlight w:val="none"/>
              </w:rPr>
              <w:t>灌木地被内无白色垃圾、污物或其他有形垃圾及杂物，枝叶上无有形垃圾、晾晒物、吊挂物等未经绿化管理部门允许设置的设施；树穴、树池内无渣土、砖石等有形废弃杂物；无卫生死角。</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5CD70360">
            <w:pPr>
              <w:pStyle w:val="6"/>
              <w:ind w:firstLine="380"/>
              <w:jc w:val="both"/>
              <w:rPr>
                <w:rFonts w:hint="default"/>
                <w:bCs/>
                <w:color w:val="auto"/>
                <w:highlight w:val="none"/>
              </w:rPr>
            </w:pPr>
            <w:r>
              <w:rPr>
                <w:rFonts w:ascii="宋体" w:hAnsi="宋体" w:eastAsia="宋体" w:cs="宋体"/>
                <w:bCs/>
                <w:color w:val="auto"/>
                <w:sz w:val="24"/>
                <w:highlight w:val="none"/>
              </w:rPr>
              <w:t>灌木地被内有白色垃圾、污物或其他有形垃圾及杂物，枝叶上有有形垃圾、晾晒物、吊挂物等未经绿化管理部门允许设置的设施；树穴、树池内有渣土、砖石等有形废弃杂物，扣0.2分/处；卫生死角，扣0.5分/处</w:t>
            </w:r>
          </w:p>
        </w:tc>
      </w:tr>
      <w:tr w14:paraId="785D4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52C4ACAD">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506F462">
            <w:pPr>
              <w:pStyle w:val="6"/>
              <w:jc w:val="center"/>
              <w:rPr>
                <w:rFonts w:hint="default"/>
                <w:bCs/>
                <w:color w:val="auto"/>
                <w:highlight w:val="none"/>
              </w:rPr>
            </w:pPr>
            <w:r>
              <w:rPr>
                <w:rFonts w:ascii="宋体" w:hAnsi="宋体" w:eastAsia="宋体" w:cs="宋体"/>
                <w:bCs/>
                <w:color w:val="auto"/>
                <w:sz w:val="24"/>
                <w:highlight w:val="none"/>
              </w:rPr>
              <w:t>3</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4114A1AB">
            <w:pPr>
              <w:pStyle w:val="6"/>
              <w:ind w:firstLine="380"/>
              <w:jc w:val="both"/>
              <w:rPr>
                <w:rFonts w:hint="default"/>
                <w:bCs/>
                <w:color w:val="auto"/>
                <w:highlight w:val="none"/>
              </w:rPr>
            </w:pPr>
            <w:r>
              <w:rPr>
                <w:rFonts w:ascii="宋体" w:hAnsi="宋体" w:eastAsia="宋体" w:cs="宋体"/>
                <w:bCs/>
                <w:color w:val="auto"/>
                <w:sz w:val="24"/>
                <w:highlight w:val="none"/>
              </w:rPr>
              <w:t>绿化修剪废弃物及时清理，堆放不超过1个工作日；无垃圾乱倾倒、乱焚烧现象。</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46D9DA7F">
            <w:pPr>
              <w:pStyle w:val="6"/>
              <w:ind w:firstLine="380"/>
              <w:jc w:val="both"/>
              <w:rPr>
                <w:rFonts w:hint="default"/>
                <w:bCs/>
                <w:color w:val="auto"/>
                <w:highlight w:val="none"/>
              </w:rPr>
            </w:pPr>
            <w:r>
              <w:rPr>
                <w:rFonts w:ascii="宋体" w:hAnsi="宋体" w:eastAsia="宋体" w:cs="宋体"/>
                <w:bCs/>
                <w:color w:val="auto"/>
                <w:sz w:val="24"/>
                <w:highlight w:val="none"/>
              </w:rPr>
              <w:t>绿化修剪废弃物未在一个工作日内及时清理，扣0.2分/处；垃圾乱倾倒、乱焚烧现象，扣1分/处。</w:t>
            </w:r>
          </w:p>
        </w:tc>
      </w:tr>
      <w:tr w14:paraId="62C30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17C08D60">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374B74B">
            <w:pPr>
              <w:pStyle w:val="6"/>
              <w:jc w:val="center"/>
              <w:rPr>
                <w:rFonts w:hint="default"/>
                <w:bCs/>
                <w:color w:val="auto"/>
                <w:highlight w:val="none"/>
              </w:rPr>
            </w:pPr>
            <w:r>
              <w:rPr>
                <w:rFonts w:ascii="宋体" w:hAnsi="宋体" w:eastAsia="宋体" w:cs="宋体"/>
                <w:bCs/>
                <w:color w:val="auto"/>
                <w:sz w:val="24"/>
                <w:highlight w:val="none"/>
              </w:rPr>
              <w:t>2</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731D2F7">
            <w:pPr>
              <w:pStyle w:val="6"/>
              <w:ind w:firstLine="380"/>
              <w:jc w:val="both"/>
              <w:rPr>
                <w:rFonts w:hint="default"/>
                <w:bCs/>
                <w:color w:val="auto"/>
                <w:highlight w:val="none"/>
              </w:rPr>
            </w:pPr>
            <w:r>
              <w:rPr>
                <w:rFonts w:ascii="宋体" w:hAnsi="宋体" w:eastAsia="宋体" w:cs="宋体"/>
                <w:bCs/>
                <w:color w:val="auto"/>
                <w:sz w:val="24"/>
                <w:highlight w:val="none"/>
              </w:rPr>
              <w:t>绿地灌木地被内实行10小时动态保洁，白色垃圾停留时间不超过2小时。</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48A264B9">
            <w:pPr>
              <w:pStyle w:val="6"/>
              <w:ind w:firstLine="380"/>
              <w:jc w:val="both"/>
              <w:rPr>
                <w:rFonts w:hint="default"/>
                <w:bCs/>
                <w:color w:val="auto"/>
                <w:highlight w:val="none"/>
              </w:rPr>
            </w:pPr>
            <w:r>
              <w:rPr>
                <w:rFonts w:ascii="宋体" w:hAnsi="宋体" w:eastAsia="宋体" w:cs="宋体"/>
                <w:bCs/>
                <w:color w:val="auto"/>
                <w:sz w:val="24"/>
                <w:highlight w:val="none"/>
              </w:rPr>
              <w:t>绿地实行10小时动态保洁，白色垃圾停留时间不超过2小时，未达标，扣1分/处。</w:t>
            </w:r>
          </w:p>
        </w:tc>
      </w:tr>
      <w:tr w14:paraId="4B0B2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4531DAD0">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7F979BC6">
            <w:pPr>
              <w:pStyle w:val="6"/>
              <w:jc w:val="center"/>
              <w:rPr>
                <w:rFonts w:hint="default"/>
                <w:bCs/>
                <w:color w:val="auto"/>
                <w:highlight w:val="none"/>
              </w:rPr>
            </w:pPr>
            <w:r>
              <w:rPr>
                <w:rFonts w:ascii="宋体" w:hAnsi="宋体" w:eastAsia="宋体" w:cs="宋体"/>
                <w:bCs/>
                <w:color w:val="auto"/>
                <w:sz w:val="24"/>
                <w:highlight w:val="none"/>
              </w:rPr>
              <w:t>2</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5145A69">
            <w:pPr>
              <w:pStyle w:val="6"/>
              <w:ind w:firstLine="380"/>
              <w:jc w:val="both"/>
              <w:rPr>
                <w:rFonts w:hint="default"/>
                <w:bCs/>
                <w:color w:val="auto"/>
                <w:highlight w:val="none"/>
              </w:rPr>
            </w:pPr>
            <w:r>
              <w:rPr>
                <w:rFonts w:ascii="宋体" w:hAnsi="宋体" w:eastAsia="宋体" w:cs="宋体"/>
                <w:bCs/>
                <w:color w:val="auto"/>
                <w:sz w:val="24"/>
                <w:highlight w:val="none"/>
              </w:rPr>
              <w:t>按照垃圾分类相关规定实行分类运输到专门地点处理</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16586CDC">
            <w:pPr>
              <w:pStyle w:val="6"/>
              <w:ind w:firstLine="380"/>
              <w:jc w:val="both"/>
              <w:rPr>
                <w:rFonts w:hint="default"/>
                <w:bCs/>
                <w:color w:val="auto"/>
                <w:highlight w:val="none"/>
              </w:rPr>
            </w:pPr>
            <w:r>
              <w:rPr>
                <w:rFonts w:ascii="宋体" w:hAnsi="宋体" w:eastAsia="宋体" w:cs="宋体"/>
                <w:bCs/>
                <w:color w:val="auto"/>
                <w:sz w:val="24"/>
                <w:highlight w:val="none"/>
              </w:rPr>
              <w:t>未按照垃圾分类相关规定实行分类运输到专门地点处理，扣2分/次。</w:t>
            </w:r>
          </w:p>
        </w:tc>
      </w:tr>
      <w:tr w14:paraId="27514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restart"/>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39AC2B11">
            <w:pPr>
              <w:pStyle w:val="6"/>
              <w:jc w:val="center"/>
              <w:rPr>
                <w:rFonts w:hint="default"/>
                <w:bCs/>
                <w:color w:val="auto"/>
                <w:highlight w:val="none"/>
              </w:rPr>
            </w:pPr>
            <w:r>
              <w:rPr>
                <w:rFonts w:ascii="宋体" w:hAnsi="宋体" w:eastAsia="宋体" w:cs="宋体"/>
                <w:bCs/>
                <w:color w:val="auto"/>
                <w:sz w:val="24"/>
                <w:highlight w:val="none"/>
              </w:rPr>
              <w:t>作业规范管理(10分)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08A3AF5">
            <w:pPr>
              <w:pStyle w:val="6"/>
              <w:jc w:val="center"/>
              <w:rPr>
                <w:rFonts w:hint="default"/>
                <w:bCs/>
                <w:color w:val="auto"/>
                <w:highlight w:val="none"/>
              </w:rPr>
            </w:pPr>
            <w:r>
              <w:rPr>
                <w:rFonts w:ascii="宋体" w:hAnsi="宋体" w:eastAsia="宋体" w:cs="宋体"/>
                <w:bCs/>
                <w:color w:val="auto"/>
                <w:sz w:val="24"/>
                <w:highlight w:val="none"/>
              </w:rPr>
              <w:t>4</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3012AF2">
            <w:pPr>
              <w:pStyle w:val="6"/>
              <w:ind w:firstLine="380"/>
              <w:jc w:val="both"/>
              <w:rPr>
                <w:rFonts w:hint="default"/>
                <w:bCs/>
                <w:color w:val="auto"/>
                <w:highlight w:val="none"/>
              </w:rPr>
            </w:pPr>
            <w:r>
              <w:rPr>
                <w:rFonts w:ascii="宋体" w:hAnsi="宋体" w:eastAsia="宋体" w:cs="宋体"/>
                <w:bCs/>
                <w:color w:val="auto"/>
                <w:sz w:val="24"/>
                <w:highlight w:val="none"/>
              </w:rPr>
              <w:t>①养护人员通过培训上岗。</w:t>
            </w:r>
          </w:p>
          <w:p w14:paraId="1BFABF38">
            <w:pPr>
              <w:pStyle w:val="6"/>
              <w:ind w:firstLine="380"/>
              <w:jc w:val="both"/>
              <w:rPr>
                <w:rFonts w:hint="default"/>
                <w:bCs/>
                <w:color w:val="auto"/>
                <w:highlight w:val="none"/>
              </w:rPr>
            </w:pPr>
            <w:r>
              <w:rPr>
                <w:rFonts w:ascii="宋体" w:hAnsi="宋体" w:eastAsia="宋体" w:cs="宋体"/>
                <w:bCs/>
                <w:color w:val="auto"/>
                <w:sz w:val="24"/>
                <w:highlight w:val="none"/>
              </w:rPr>
              <w:t>②养护人员上岗必须穿着带有反光标志的统一制服。</w:t>
            </w:r>
          </w:p>
          <w:p w14:paraId="2B480FD1">
            <w:pPr>
              <w:pStyle w:val="6"/>
              <w:ind w:firstLine="380"/>
              <w:jc w:val="both"/>
              <w:rPr>
                <w:rFonts w:hint="default"/>
                <w:bCs/>
                <w:color w:val="auto"/>
                <w:highlight w:val="none"/>
              </w:rPr>
            </w:pPr>
            <w:r>
              <w:rPr>
                <w:rFonts w:ascii="宋体" w:hAnsi="宋体" w:eastAsia="宋体" w:cs="宋体"/>
                <w:bCs/>
                <w:color w:val="auto"/>
                <w:sz w:val="24"/>
                <w:highlight w:val="none"/>
              </w:rPr>
              <w:t>③每日最少到岗人员应满足要求。</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6FC7A437">
            <w:pPr>
              <w:pStyle w:val="6"/>
              <w:ind w:firstLine="380"/>
              <w:jc w:val="both"/>
              <w:rPr>
                <w:rFonts w:hint="default"/>
                <w:bCs/>
                <w:color w:val="auto"/>
                <w:highlight w:val="none"/>
              </w:rPr>
            </w:pPr>
            <w:r>
              <w:rPr>
                <w:rFonts w:ascii="宋体" w:hAnsi="宋体" w:eastAsia="宋体" w:cs="宋体"/>
                <w:bCs/>
                <w:color w:val="auto"/>
                <w:sz w:val="24"/>
                <w:highlight w:val="none"/>
              </w:rPr>
              <w:t>养护人员无培训上岗，扣1分/人；未穿带有反光标志的统一制服，扣0.1分/人。</w:t>
            </w:r>
          </w:p>
          <w:p w14:paraId="6EEA7470">
            <w:pPr>
              <w:pStyle w:val="6"/>
              <w:ind w:firstLine="380"/>
              <w:jc w:val="both"/>
              <w:rPr>
                <w:rFonts w:hint="default"/>
                <w:bCs/>
                <w:color w:val="auto"/>
                <w:highlight w:val="none"/>
              </w:rPr>
            </w:pPr>
            <w:r>
              <w:rPr>
                <w:rFonts w:ascii="宋体" w:hAnsi="宋体" w:eastAsia="宋体" w:cs="宋体"/>
                <w:bCs/>
                <w:color w:val="auto"/>
                <w:sz w:val="24"/>
                <w:highlight w:val="none"/>
              </w:rPr>
              <w:t>每日最少到岗人员不满足要求的，扣0.1分/人。</w:t>
            </w:r>
          </w:p>
        </w:tc>
      </w:tr>
      <w:tr w14:paraId="36759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3311D0B5">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CEED646">
            <w:pPr>
              <w:pStyle w:val="6"/>
              <w:jc w:val="center"/>
              <w:rPr>
                <w:rFonts w:hint="default"/>
                <w:bCs/>
                <w:color w:val="auto"/>
                <w:highlight w:val="none"/>
              </w:rPr>
            </w:pPr>
            <w:r>
              <w:rPr>
                <w:rFonts w:ascii="宋体" w:hAnsi="宋体" w:eastAsia="宋体" w:cs="宋体"/>
                <w:bCs/>
                <w:color w:val="auto"/>
                <w:sz w:val="24"/>
                <w:highlight w:val="none"/>
              </w:rPr>
              <w:t>3</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356334AF">
            <w:pPr>
              <w:pStyle w:val="6"/>
              <w:ind w:firstLine="380"/>
              <w:jc w:val="both"/>
              <w:rPr>
                <w:rFonts w:hint="default"/>
                <w:bCs/>
                <w:color w:val="auto"/>
                <w:highlight w:val="none"/>
              </w:rPr>
            </w:pPr>
            <w:r>
              <w:rPr>
                <w:rFonts w:ascii="宋体" w:hAnsi="宋体" w:eastAsia="宋体" w:cs="宋体"/>
                <w:bCs/>
                <w:color w:val="auto"/>
                <w:sz w:val="24"/>
                <w:highlight w:val="none"/>
              </w:rPr>
              <w:t>订较完善的养护技术方案，建有工种齐全和相对稳定的养护队伍。及时上报月度工作总结及养护计划；做好绿地设施统计报表，要求每月更新一次</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2AA1CB8B">
            <w:pPr>
              <w:pStyle w:val="6"/>
              <w:ind w:firstLine="380"/>
              <w:jc w:val="both"/>
              <w:rPr>
                <w:rFonts w:hint="default"/>
                <w:bCs/>
                <w:color w:val="auto"/>
                <w:highlight w:val="none"/>
              </w:rPr>
            </w:pPr>
            <w:r>
              <w:rPr>
                <w:rFonts w:ascii="宋体" w:hAnsi="宋体" w:eastAsia="宋体" w:cs="宋体"/>
                <w:bCs/>
                <w:color w:val="auto"/>
                <w:sz w:val="24"/>
                <w:highlight w:val="none"/>
              </w:rPr>
              <w:t>月度工作总结及养护计划在每月25日前上报；做好绿地设施统计报表(设施量增减明细)，要求每月更新一次；未达标，扣1分/次。</w:t>
            </w:r>
          </w:p>
        </w:tc>
      </w:tr>
      <w:tr w14:paraId="34936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vMerge w:val="continue"/>
            <w:tcBorders>
              <w:top w:val="nil"/>
              <w:left w:val="single" w:color="000000" w:sz="4" w:space="0"/>
              <w:bottom w:val="single" w:color="000000" w:sz="4" w:space="0"/>
              <w:right w:val="single" w:color="000000" w:sz="4" w:space="0"/>
            </w:tcBorders>
            <w:vAlign w:val="center"/>
          </w:tcPr>
          <w:p w14:paraId="79EE1A1B">
            <w:pPr>
              <w:jc w:val="center"/>
              <w:rPr>
                <w:bCs/>
                <w:color w:val="auto"/>
                <w:highlight w:val="none"/>
              </w:rPr>
            </w:pP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62F2EB2B">
            <w:pPr>
              <w:pStyle w:val="6"/>
              <w:jc w:val="center"/>
              <w:rPr>
                <w:rFonts w:hint="default"/>
                <w:bCs/>
                <w:color w:val="auto"/>
                <w:highlight w:val="none"/>
              </w:rPr>
            </w:pPr>
            <w:r>
              <w:rPr>
                <w:rFonts w:ascii="宋体" w:hAnsi="宋体" w:eastAsia="宋体" w:cs="宋体"/>
                <w:bCs/>
                <w:color w:val="auto"/>
                <w:sz w:val="24"/>
                <w:highlight w:val="none"/>
              </w:rPr>
              <w:t>3</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256E49EE">
            <w:pPr>
              <w:pStyle w:val="6"/>
              <w:ind w:firstLine="380"/>
              <w:jc w:val="both"/>
              <w:rPr>
                <w:rFonts w:hint="default"/>
                <w:bCs/>
                <w:color w:val="auto"/>
                <w:highlight w:val="none"/>
              </w:rPr>
            </w:pPr>
            <w:r>
              <w:rPr>
                <w:rFonts w:ascii="宋体" w:hAnsi="宋体" w:eastAsia="宋体" w:cs="宋体"/>
                <w:bCs/>
                <w:color w:val="auto"/>
                <w:sz w:val="24"/>
                <w:highlight w:val="none"/>
              </w:rPr>
              <w:t>做好重大活动保障、突发事件处理得当；无群众投诉、媒体曝光事件</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7E1C5EAB">
            <w:pPr>
              <w:pStyle w:val="6"/>
              <w:ind w:firstLine="380"/>
              <w:jc w:val="both"/>
              <w:rPr>
                <w:rFonts w:hint="default"/>
                <w:bCs/>
                <w:color w:val="auto"/>
                <w:highlight w:val="none"/>
              </w:rPr>
            </w:pPr>
            <w:r>
              <w:rPr>
                <w:rFonts w:ascii="宋体" w:hAnsi="宋体" w:eastAsia="宋体" w:cs="宋体"/>
                <w:bCs/>
                <w:color w:val="auto"/>
                <w:sz w:val="24"/>
                <w:highlight w:val="none"/>
              </w:rPr>
              <w:t>重大活动保障不力、突发事件处理不当，扣2分/次；出现群众投诉、媒体曝光事件，凡经查证属实，每次扣3分。</w:t>
            </w:r>
          </w:p>
        </w:tc>
      </w:tr>
      <w:tr w14:paraId="74E8E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center"/>
          </w:tcPr>
          <w:p w14:paraId="4E6EF5F4">
            <w:pPr>
              <w:pStyle w:val="6"/>
              <w:jc w:val="center"/>
              <w:rPr>
                <w:rFonts w:hint="default"/>
                <w:bCs/>
                <w:color w:val="auto"/>
                <w:highlight w:val="none"/>
              </w:rPr>
            </w:pPr>
            <w:r>
              <w:rPr>
                <w:rFonts w:ascii="宋体" w:hAnsi="宋体" w:eastAsia="宋体" w:cs="宋体"/>
                <w:bCs/>
                <w:color w:val="auto"/>
                <w:sz w:val="24"/>
                <w:highlight w:val="none"/>
              </w:rPr>
              <w:t>其他(10分)</w:t>
            </w:r>
          </w:p>
        </w:tc>
        <w:tc>
          <w:tcPr>
            <w:tcW w:w="527" w:type="dxa"/>
            <w:tcBorders>
              <w:top w:val="nil"/>
              <w:left w:val="nil"/>
              <w:bottom w:val="single" w:color="000000" w:sz="4" w:space="0"/>
              <w:right w:val="single" w:color="000000" w:sz="4" w:space="0"/>
            </w:tcBorders>
            <w:tcMar>
              <w:top w:w="0" w:type="dxa"/>
              <w:left w:w="90" w:type="dxa"/>
              <w:bottom w:w="0" w:type="dxa"/>
              <w:right w:w="90" w:type="dxa"/>
            </w:tcMar>
            <w:vAlign w:val="center"/>
          </w:tcPr>
          <w:p w14:paraId="1E2D3E73">
            <w:pPr>
              <w:pStyle w:val="6"/>
              <w:jc w:val="center"/>
              <w:rPr>
                <w:rFonts w:hint="default"/>
                <w:bCs/>
                <w:color w:val="auto"/>
                <w:highlight w:val="none"/>
              </w:rPr>
            </w:pPr>
            <w:r>
              <w:rPr>
                <w:rFonts w:ascii="宋体" w:hAnsi="宋体" w:eastAsia="宋体" w:cs="宋体"/>
                <w:bCs/>
                <w:color w:val="auto"/>
                <w:sz w:val="24"/>
                <w:highlight w:val="none"/>
              </w:rPr>
              <w:t>10</w:t>
            </w:r>
          </w:p>
        </w:tc>
        <w:tc>
          <w:tcPr>
            <w:tcW w:w="2799" w:type="dxa"/>
            <w:tcBorders>
              <w:top w:val="nil"/>
              <w:left w:val="nil"/>
              <w:bottom w:val="single" w:color="000000" w:sz="4" w:space="0"/>
              <w:right w:val="single" w:color="000000" w:sz="4" w:space="0"/>
            </w:tcBorders>
            <w:tcMar>
              <w:top w:w="0" w:type="dxa"/>
              <w:left w:w="90" w:type="dxa"/>
              <w:bottom w:w="0" w:type="dxa"/>
              <w:right w:w="90" w:type="dxa"/>
            </w:tcMar>
            <w:vAlign w:val="center"/>
          </w:tcPr>
          <w:p w14:paraId="5B5EC41F">
            <w:pPr>
              <w:pStyle w:val="6"/>
              <w:ind w:firstLine="380"/>
              <w:jc w:val="both"/>
              <w:rPr>
                <w:rFonts w:hint="default"/>
                <w:bCs/>
                <w:color w:val="auto"/>
                <w:highlight w:val="none"/>
              </w:rPr>
            </w:pPr>
            <w:r>
              <w:rPr>
                <w:rFonts w:ascii="宋体" w:hAnsi="宋体" w:eastAsia="宋体" w:cs="宋体"/>
                <w:bCs/>
                <w:color w:val="auto"/>
                <w:sz w:val="24"/>
                <w:highlight w:val="none"/>
              </w:rPr>
              <w:t>12345及数字城管件，要及时处理派件，提高整改时效；管理部门提出的问题应在规定时间内完成。</w:t>
            </w:r>
          </w:p>
        </w:tc>
        <w:tc>
          <w:tcPr>
            <w:tcW w:w="4258" w:type="dxa"/>
            <w:tcBorders>
              <w:top w:val="nil"/>
              <w:left w:val="nil"/>
              <w:bottom w:val="single" w:color="000000" w:sz="4" w:space="0"/>
              <w:right w:val="single" w:color="000000" w:sz="4" w:space="0"/>
            </w:tcBorders>
            <w:tcMar>
              <w:top w:w="15" w:type="dxa"/>
              <w:left w:w="15" w:type="dxa"/>
              <w:bottom w:w="15" w:type="dxa"/>
              <w:right w:w="15" w:type="dxa"/>
            </w:tcMar>
            <w:vAlign w:val="center"/>
          </w:tcPr>
          <w:p w14:paraId="016DE66B">
            <w:pPr>
              <w:pStyle w:val="6"/>
              <w:ind w:firstLine="380"/>
              <w:jc w:val="both"/>
              <w:rPr>
                <w:rFonts w:hint="default"/>
                <w:bCs/>
                <w:color w:val="auto"/>
                <w:highlight w:val="none"/>
              </w:rPr>
            </w:pPr>
            <w:r>
              <w:rPr>
                <w:rFonts w:ascii="宋体" w:hAnsi="宋体" w:eastAsia="宋体" w:cs="宋体"/>
                <w:bCs/>
                <w:color w:val="auto"/>
                <w:sz w:val="24"/>
                <w:highlight w:val="none"/>
              </w:rPr>
              <w:t>12345及数字城管诉求件，及时处理派件，提高整改时效；管理部门提出的问题应在规定的时间内完成。如因工作推诿、拖拉造成重复投诉或重办件，每次扣2分。</w:t>
            </w:r>
          </w:p>
        </w:tc>
      </w:tr>
    </w:tbl>
    <w:p w14:paraId="77637776">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注：考核评分表采用百分制，单项考核项目按次、处扣分。</w:t>
      </w:r>
    </w:p>
    <w:p w14:paraId="59B4B3F8">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8.2绿化养护项目考核细则</w:t>
      </w:r>
    </w:p>
    <w:p w14:paraId="3F3E3E04">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（1）考核人员：采购人组织相关工作人员组成考核组负责考核工作。</w:t>
      </w:r>
    </w:p>
    <w:p w14:paraId="59B7298F">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（2）考核方式：考核组对中标人的考核每周2次，采取不定时不定点考核。</w:t>
      </w:r>
    </w:p>
    <w:p w14:paraId="4DE93FBE">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3）检查内容：根据《福州市乌龙江公园园林绿化养护质量考核标准与评分依据》对中标人进行考核，同时检查中标人制度执行情况并填写《考核登记表》，一式两份，经双方签字后各执一份。如若中标人不及时签字确认，由考核人员现场取证后做为考核依据，一律视为中标人默认采购人的考核评分。</w:t>
      </w:r>
    </w:p>
    <w:p w14:paraId="6540B13D">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（4）计算方法：考核时间为合同期内的每个自然月，根据该自然月内每周考核组考评分数的平均值为最终得分，并作为每月服务费结算的依据。</w:t>
      </w:r>
    </w:p>
    <w:p w14:paraId="3C3A0AEF">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（5）采购人要建立完善的内部日常检查制度和台帐，并把检查结果备案。</w:t>
      </w:r>
    </w:p>
    <w:p w14:paraId="074206B9">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（6）中标人</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考核得分低于60分或合同(或协议)期内累计3次</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考核得分低于80分的，采购人有权终止合同(或协议)并没收履约保证金的50%～100%，中标人须无条件按采购人要求办理移交、退场手续。</w:t>
      </w:r>
    </w:p>
    <w:p w14:paraId="792F08DC">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9.支付方式：</w:t>
      </w:r>
    </w:p>
    <w:p w14:paraId="459F46AA">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实行绩效考核制（百分制）进行付款：采购人按照月支付，中标人完成月绿化养护工作，根据考核情况，按照不同等级进行付款，并经采购人和中标人双方共同核定的月养护经费后，待财政资金到位后，达到付款条件起10日内，以转帐方式按月结算支付前一个月作业经费(经考核扣除相应经费后的剩余经费)。中标人应出具正式发票。发放等级：</w:t>
      </w:r>
    </w:p>
    <w:p w14:paraId="050364E3">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考核得分≥90分，全额拨付当月实际作业经费；</w:t>
      </w:r>
    </w:p>
    <w:p w14:paraId="7E74B021">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（2）85</w:t>
      </w:r>
      <w:r>
        <w:rPr>
          <w:rFonts w:hint="eastAsia" w:ascii="宋体" w:hAnsi="宋体" w:eastAsia="宋体" w:cs="宋体"/>
          <w:sz w:val="24"/>
          <w:szCs w:val="24"/>
          <w:shd w:val="clear" w:fill="FFFFFF"/>
        </w:rPr>
        <w:t>分≤月平均考核得分＜90分的，扣除当月实际作业经费的5%，拨付当月实际作业经费的95%；</w:t>
      </w:r>
    </w:p>
    <w:p w14:paraId="293E7FA3">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考核得分＜85分的，扣除当月实际作业经费的10%，拨付当月实际作业经费的90%。</w:t>
      </w:r>
    </w:p>
    <w:p w14:paraId="18BE2FAE">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shd w:val="clear" w:fill="FFFFFF"/>
        </w:rPr>
        <w:t>月平均考核</w:t>
      </w:r>
      <w:r>
        <w:rPr>
          <w:rFonts w:hint="eastAsia" w:ascii="宋体" w:hAnsi="宋体" w:eastAsia="宋体" w:cs="宋体"/>
          <w:sz w:val="24"/>
          <w:szCs w:val="24"/>
        </w:rPr>
        <w:t>得分</w:t>
      </w:r>
      <w:r>
        <w:rPr>
          <w:rFonts w:hint="eastAsia" w:ascii="宋体" w:hAnsi="宋体" w:eastAsia="宋体" w:cs="宋体"/>
          <w:sz w:val="24"/>
          <w:szCs w:val="24"/>
          <w:shd w:val="clear" w:fill="FFFFFF"/>
        </w:rPr>
        <w:t>在80分以下为不合格，</w:t>
      </w:r>
      <w:r>
        <w:rPr>
          <w:rFonts w:hint="eastAsia" w:ascii="宋体" w:hAnsi="宋体" w:eastAsia="宋体" w:cs="宋体"/>
          <w:sz w:val="24"/>
          <w:szCs w:val="24"/>
        </w:rPr>
        <w:t>除按第(3)条惩处外，采购人向中标人负责人提交书面警告书，限令3日内整改到位，并要求下月达到良好以上。</w:t>
      </w:r>
    </w:p>
    <w:p w14:paraId="7A347F64">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（5）中标人</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考核得分低于60分或合同(或协议)期内累计3次</w:t>
      </w:r>
      <w:r>
        <w:rPr>
          <w:rFonts w:hint="eastAsia" w:ascii="宋体" w:hAnsi="宋体" w:eastAsia="宋体" w:cs="宋体"/>
          <w:sz w:val="24"/>
          <w:szCs w:val="24"/>
          <w:shd w:val="clear" w:fill="FFFFFF"/>
        </w:rPr>
        <w:t>月平均</w:t>
      </w:r>
      <w:r>
        <w:rPr>
          <w:rFonts w:hint="eastAsia" w:ascii="宋体" w:hAnsi="宋体" w:eastAsia="宋体" w:cs="宋体"/>
          <w:sz w:val="24"/>
          <w:szCs w:val="24"/>
        </w:rPr>
        <w:t>考核得分低于80分的，采购人有权终止合同(或协议)并没收履约保证金的50%～100%，中标人须无条件按采购人要求办理移交、退场手续。</w:t>
      </w:r>
    </w:p>
    <w:p w14:paraId="3E35F9F9">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rPr>
        <w:t>10.日常养护服务管理奖惩办法</w:t>
      </w:r>
    </w:p>
    <w:p w14:paraId="6EE934C6">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1）</w:t>
      </w:r>
      <w:r>
        <w:rPr>
          <w:rFonts w:hint="eastAsia" w:ascii="宋体" w:hAnsi="宋体" w:eastAsia="宋体" w:cs="宋体"/>
          <w:sz w:val="24"/>
          <w:szCs w:val="24"/>
        </w:rPr>
        <w:t>采购人每月采取不定时不定点考核办法，对中标人养护质量进行验收。如发现严重违反合同规定的以书面形式通知中标人，中标人应在规定时间内及时整改到位。如未按要求整改到位的采购人则有权视情况(按500-2000元/每次未整改到位)扣款，从当月养护经费中扣除。如一个年度内三次未整改到位的采购人有权终止合同。</w:t>
      </w:r>
    </w:p>
    <w:p w14:paraId="33691A6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rPr>
        <w:t>2）一个考核年度内，</w:t>
      </w:r>
      <w:r>
        <w:rPr>
          <w:rFonts w:hint="eastAsia" w:ascii="宋体" w:hAnsi="宋体" w:eastAsia="宋体" w:cs="宋体"/>
          <w:sz w:val="24"/>
          <w:szCs w:val="24"/>
          <w:shd w:val="clear" w:fill="FFFFFF"/>
        </w:rPr>
        <w:t>遇国家、省、市、局相关检查，中标人绿化养护服务工作相关处罚细则：</w:t>
      </w:r>
    </w:p>
    <w:p w14:paraId="30724546">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（1）采购人因绿化养护工作被红、黄牌或被通报的，采购人下达第一次书面整改通知并处以2000-5000元罚金，罚金直接从当月绿化养护服务费中扣除；</w:t>
      </w:r>
    </w:p>
    <w:p w14:paraId="7AFB2D56">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（2）若因中标人未按规定时间内整改到位，被通报2次，采购人下达第二次书面整改通知处以10000元罚金，罚金直接从当月绿化养护服务费中扣除；</w:t>
      </w:r>
    </w:p>
    <w:p w14:paraId="19AF2333">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（3）采购人因绿化养护工作被红、黄牌警告2次或被通报3次，采购人有权终止合同并处以15000元罚金，罚金直接从履约保证金中扣除。</w:t>
      </w:r>
    </w:p>
    <w:p w14:paraId="4F2D121C">
      <w:pPr>
        <w:pStyle w:val="6"/>
        <w:keepNext w:val="0"/>
        <w:keepLines w:val="0"/>
        <w:pageBreakBefore w:val="0"/>
        <w:kinsoku/>
        <w:wordWrap/>
        <w:overflowPunct/>
        <w:topLinePunct w:val="0"/>
        <w:autoSpaceDE/>
        <w:autoSpaceDN/>
        <w:bidi w:val="0"/>
        <w:adjustRightInd w:val="0"/>
        <w:snapToGrid w:val="0"/>
        <w:spacing w:line="240" w:lineRule="auto"/>
        <w:ind w:left="0" w:firstLine="405"/>
        <w:textAlignment w:val="auto"/>
        <w:rPr>
          <w:rFonts w:hint="eastAsia" w:ascii="宋体" w:hAnsi="宋体" w:eastAsia="宋体" w:cs="宋体"/>
          <w:sz w:val="24"/>
          <w:szCs w:val="24"/>
        </w:rPr>
      </w:pPr>
      <w:r>
        <w:rPr>
          <w:rFonts w:hint="eastAsia" w:ascii="宋体" w:hAnsi="宋体" w:eastAsia="宋体" w:cs="宋体"/>
          <w:sz w:val="24"/>
          <w:szCs w:val="24"/>
          <w:shd w:val="clear" w:fill="FFFFFF"/>
        </w:rPr>
        <w:t>4）关于数字城管、12345投诉、媒体曝光等投诉的相关处罚细则：</w:t>
      </w:r>
    </w:p>
    <w:p w14:paraId="36758B1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（1）数字城管和12345的案件接件由采购人负责，中标人按规定时间书面反馈及处理。并对中标人处以500元/次罚款，直接从当月绿化养护服务费中扣除。</w:t>
      </w:r>
    </w:p>
    <w:p w14:paraId="2FDFCC14">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若因中标人未按规定时间内整改到位，采购人受到处罚，采购人有权解除养护服务合同并视情对中标人处以采购人罚金1-2倍数额的处罚，罚金由履约保证金中扣除，不足部分采购人可向中标人要求进行经济赔偿。</w:t>
      </w:r>
    </w:p>
    <w:p w14:paraId="4E029BEF">
      <w:pPr>
        <w:pStyle w:val="6"/>
        <w:keepNext w:val="0"/>
        <w:keepLines w:val="0"/>
        <w:pageBreakBefore w:val="0"/>
        <w:kinsoku/>
        <w:wordWrap/>
        <w:overflowPunct/>
        <w:topLinePunct w:val="0"/>
        <w:autoSpaceDE/>
        <w:autoSpaceDN/>
        <w:bidi w:val="0"/>
        <w:adjustRightInd w:val="0"/>
        <w:snapToGrid w:val="0"/>
        <w:spacing w:line="24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5）因中标方原因造成园林设施损坏未按照采购人要求及时修复的，采购人以书面整改通知；采购人下达第一次书面整改通知未及时修复的，处以1000元罚金；采购人下达第二次书面整改通知未及时修复的，处以3000元罚金；采购人下达第三次书面整改通知未及时修复的，处以5000元罚款。若造成采购人经济损失的，</w:t>
      </w:r>
      <w:r>
        <w:rPr>
          <w:rFonts w:hint="eastAsia" w:ascii="宋体" w:hAnsi="宋体" w:eastAsia="宋体" w:cs="宋体"/>
          <w:sz w:val="24"/>
          <w:szCs w:val="24"/>
          <w:shd w:val="clear" w:fill="FFFFFF"/>
        </w:rPr>
        <w:t>并视情对中标人处以采购人损失金额的1-2倍数额的处罚。罚金直接从当月绿化养护服务费中扣除。</w:t>
      </w:r>
    </w:p>
    <w:p w14:paraId="0BDBD880">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11.其他要求</w:t>
      </w:r>
    </w:p>
    <w:p w14:paraId="4B3CF3EC">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xml:space="preserve">  （1）投标人应根据招标要求提供其为本项目所设计的养护实施方案(包括文明作业、安全作业、应对重大活动和检查评比的保障措施等)、项目管理班子、员工配备情况、服务承诺、投入设备清单。</w:t>
      </w:r>
    </w:p>
    <w:p w14:paraId="37DCDE78">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（2）因中标人原因发生重大质量事故，除依约承担赔偿责任外，还将按有关质量管理办法规定执行。同时，采购人有权保留更换中标人的权利，并报相关行政主管部门处罚。</w:t>
      </w:r>
    </w:p>
    <w:p w14:paraId="3EF6D1AA">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（3）承包期内发生的一切安全事故，如治安、交通事故、第三方伤害赔偿和劳资纠纷等，均由中标人承担。</w:t>
      </w:r>
    </w:p>
    <w:p w14:paraId="52CD8124">
      <w:pPr>
        <w:pStyle w:val="6"/>
        <w:keepNext w:val="0"/>
        <w:keepLines w:val="0"/>
        <w:pageBreakBefore w:val="0"/>
        <w:kinsoku/>
        <w:wordWrap/>
        <w:overflowPunct/>
        <w:topLinePunct w:val="0"/>
        <w:autoSpaceDE/>
        <w:autoSpaceDN/>
        <w:bidi w:val="0"/>
        <w:adjustRightInd w:val="0"/>
        <w:snapToGrid w:val="0"/>
        <w:spacing w:line="240" w:lineRule="auto"/>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（4）发现人为破坏绿化和设施的，应当及时制止并上报，并严格按照采购人要求执行。</w:t>
      </w:r>
    </w:p>
    <w:p w14:paraId="798620B6">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12.因项目所在地属于台风多发地带，为保障更好地应对各种突发情况，</w:t>
      </w:r>
      <w:r>
        <w:rPr>
          <w:rFonts w:hint="eastAsia" w:ascii="宋体" w:hAnsi="宋体" w:eastAsia="宋体" w:cs="宋体"/>
          <w:sz w:val="24"/>
          <w:szCs w:val="24"/>
        </w:rPr>
        <w:t>投标人在接到采购人通知后需在2-6小时内到场处理。</w:t>
      </w:r>
    </w:p>
    <w:p w14:paraId="511B5313">
      <w:pPr>
        <w:pStyle w:val="6"/>
        <w:keepNext w:val="0"/>
        <w:keepLines w:val="0"/>
        <w:pageBreakBefore w:val="0"/>
        <w:kinsoku/>
        <w:wordWrap/>
        <w:overflowPunct/>
        <w:topLinePunct w:val="0"/>
        <w:autoSpaceDE/>
        <w:autoSpaceDN/>
        <w:bidi w:val="0"/>
        <w:adjustRightInd w:val="0"/>
        <w:snapToGrid w:val="0"/>
        <w:spacing w:line="240" w:lineRule="auto"/>
        <w:ind w:left="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四、其他事项</w:t>
      </w:r>
    </w:p>
    <w:p w14:paraId="0213B3A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0BB311C9">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2、其他：</w:t>
      </w:r>
    </w:p>
    <w:p w14:paraId="03EE8E70">
      <w:pPr>
        <w:pStyle w:val="6"/>
        <w:keepNext w:val="0"/>
        <w:keepLines w:val="0"/>
        <w:pageBreakBefore w:val="0"/>
        <w:kinsoku/>
        <w:wordWrap/>
        <w:overflowPunct/>
        <w:topLinePunct w:val="0"/>
        <w:autoSpaceDE/>
        <w:autoSpaceDN/>
        <w:bidi w:val="0"/>
        <w:adjustRightInd w:val="0"/>
        <w:snapToGrid w:val="0"/>
        <w:spacing w:line="240" w:lineRule="auto"/>
        <w:ind w:lef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（1）本采购包所含项目不允许中标人以任何名义和理由进行转包，如有发现，采购人有权单方终止合同，且中标人必须赔偿由此给采购人带来的一切损失。 （2）本招标文件未明确的其它约定事项或条款，待采购人与中标人签订合同时，由双方协商订立。</w:t>
      </w:r>
    </w:p>
    <w:p w14:paraId="76F8FEB4">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C1855B9">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24"/>
          <w:szCs w:val="24"/>
        </w:rPr>
      </w:pPr>
      <w:r>
        <w:rPr>
          <w:rFonts w:hint="eastAsia" w:ascii="宋体" w:hAnsi="宋体" w:eastAsia="宋体" w:cs="宋体"/>
          <w:b/>
          <w:sz w:val="32"/>
          <w:szCs w:val="32"/>
        </w:rPr>
        <w:t>第六章 政府采购合同</w:t>
      </w:r>
    </w:p>
    <w:p w14:paraId="76BCCEC5">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参考文本</w:t>
      </w:r>
    </w:p>
    <w:p w14:paraId="0DC8D92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合同编号：</w:t>
      </w:r>
    </w:p>
    <w:p w14:paraId="0C3923DF">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 xml:space="preserve"> 福建省政府采购合同（服务类）</w:t>
      </w:r>
    </w:p>
    <w:p w14:paraId="694AF513">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编制说明</w:t>
      </w:r>
      <w:r>
        <w:rPr>
          <w:rFonts w:hint="eastAsia" w:ascii="宋体" w:hAnsi="宋体" w:eastAsia="宋体" w:cs="宋体"/>
          <w:sz w:val="24"/>
          <w:szCs w:val="24"/>
        </w:rPr>
        <w:br w:type="textWrapping"/>
      </w:r>
    </w:p>
    <w:p w14:paraId="1E23580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1.签订合同应遵守《中华人民共和国政府采购法》及其实施条例、《中华人民共和国民法典》等法律法规及其他有关规定。</w:t>
      </w:r>
    </w:p>
    <w:p w14:paraId="79AE62D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BA6120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3.政府有关主管部门对若干合同有规范文本的，可使用相应合同文本。</w:t>
      </w:r>
    </w:p>
    <w:p w14:paraId="431A124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4.本合同范本仅供参考，采购人应当根据采购项目的实际需求对合同条款进行修改、补充。</w:t>
      </w:r>
    </w:p>
    <w:p w14:paraId="7657E62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p w14:paraId="3AE42C8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住所地：________________</w:t>
      </w:r>
    </w:p>
    <w:p w14:paraId="11ECE52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联系人：________________</w:t>
      </w:r>
    </w:p>
    <w:p w14:paraId="3EC3F87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联系电话：______________</w:t>
      </w:r>
    </w:p>
    <w:p w14:paraId="6DC7942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传真：________________</w:t>
      </w:r>
    </w:p>
    <w:p w14:paraId="2B0874A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电子邮箱：________________</w:t>
      </w:r>
      <w:r>
        <w:rPr>
          <w:rFonts w:hint="eastAsia" w:ascii="宋体" w:hAnsi="宋体" w:eastAsia="宋体" w:cs="宋体"/>
          <w:sz w:val="24"/>
          <w:szCs w:val="24"/>
        </w:rPr>
        <w:br w:type="textWrapping"/>
      </w:r>
    </w:p>
    <w:p w14:paraId="556BD2B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乙方： ________________</w:t>
      </w:r>
    </w:p>
    <w:p w14:paraId="057594F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住所地： ________________</w:t>
      </w:r>
    </w:p>
    <w:p w14:paraId="35CB1C7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联系人：______________</w:t>
      </w:r>
    </w:p>
    <w:p w14:paraId="66B1BD0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联系电话：______________</w:t>
      </w:r>
    </w:p>
    <w:p w14:paraId="10677A5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传真：________________</w:t>
      </w:r>
    </w:p>
    <w:p w14:paraId="6609D11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电子邮箱：________________</w:t>
      </w:r>
    </w:p>
    <w:p w14:paraId="42FE2AE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根据项目编号为___________ 的 __________项目（以下简称：“本项目”）的采购结果，遵循平等、自愿、公平和诚实信用的原则，双方签署本合同，具体内容如下：</w:t>
      </w:r>
    </w:p>
    <w:p w14:paraId="3175C03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一、合同组成部分</w:t>
      </w:r>
    </w:p>
    <w:p w14:paraId="44820D2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1.1本合同条款及附件；</w:t>
      </w:r>
    </w:p>
    <w:p w14:paraId="50A5DDE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1.2采购文件及其附件、补充文件；</w:t>
      </w:r>
    </w:p>
    <w:p w14:paraId="44942C3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14:paraId="5D7C80A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1.4其他文件或材料：</w:t>
      </w:r>
    </w:p>
    <w:p w14:paraId="661E6EE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二、合同标的</w:t>
      </w:r>
      <w:r>
        <w:rPr>
          <w:rFonts w:hint="eastAsia" w:ascii="宋体" w:hAnsi="宋体" w:eastAsia="宋体" w:cs="宋体"/>
          <w:sz w:val="24"/>
          <w:szCs w:val="24"/>
        </w:rPr>
        <w:br w:type="textWrapping"/>
      </w:r>
    </w:p>
    <w:p w14:paraId="6ABFEA9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三、价格形式及合同价款</w:t>
      </w:r>
    </w:p>
    <w:p w14:paraId="312E4BF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3.1价格形式</w:t>
      </w:r>
    </w:p>
    <w:p w14:paraId="7FF8CF7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固定单价合同。完成约定服务事项的含税合同单价为：人民币（大写）元（￥ _____________元）。</w:t>
      </w:r>
    </w:p>
    <w:p w14:paraId="1165CE5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固定总价合同。完成约定服务事项的含税服务费用为：人民币（大写）元（￥_____________ 元）。</w:t>
      </w:r>
    </w:p>
    <w:p w14:paraId="4D81DE9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其他方式。</w:t>
      </w:r>
    </w:p>
    <w:p w14:paraId="0D1E71D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3.2合同价款包含范围</w:t>
      </w:r>
    </w:p>
    <w:p w14:paraId="3B36F34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4"/>
        <w:rPr>
          <w:rFonts w:hint="eastAsia" w:ascii="宋体" w:hAnsi="宋体" w:eastAsia="宋体" w:cs="宋体"/>
          <w:sz w:val="24"/>
          <w:szCs w:val="24"/>
        </w:rPr>
      </w:pPr>
      <w:r>
        <w:rPr>
          <w:rFonts w:hint="eastAsia" w:ascii="宋体" w:hAnsi="宋体" w:eastAsia="宋体" w:cs="宋体"/>
          <w:b/>
          <w:sz w:val="24"/>
          <w:szCs w:val="24"/>
        </w:rPr>
        <w:t xml:space="preserve"> 3.3其他需说明的事项：</w:t>
      </w:r>
    </w:p>
    <w:p w14:paraId="5287404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四、合同标的及服务范围、地点和时间</w:t>
      </w:r>
    </w:p>
    <w:p w14:paraId="2FB7920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4.1项目名称： _____________</w:t>
      </w:r>
    </w:p>
    <w:p w14:paraId="6FABBDF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4.2服务范围：_____________</w:t>
      </w:r>
    </w:p>
    <w:p w14:paraId="09A129D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4.3服务地点：_____________</w:t>
      </w:r>
    </w:p>
    <w:p w14:paraId="09C5612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4.4服务完成时间：_____________</w:t>
      </w:r>
    </w:p>
    <w:p w14:paraId="1F3B74B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五、服务内容、质量标准和要求</w:t>
      </w:r>
    </w:p>
    <w:p w14:paraId="05EB988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5.1服务工作量的计量方式：_____________</w:t>
      </w:r>
    </w:p>
    <w:p w14:paraId="013B2E3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5.2服务内容：_____________</w:t>
      </w:r>
    </w:p>
    <w:p w14:paraId="20E0CE2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5.3技术保障、服务人员组成、所涉及的货物的质量标准：</w:t>
      </w:r>
    </w:p>
    <w:p w14:paraId="489B9EA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（1）服务技术保障：_____________</w:t>
      </w:r>
    </w:p>
    <w:p w14:paraId="36C1E3C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（2）服务人员组成：_____________</w:t>
      </w:r>
    </w:p>
    <w:p w14:paraId="3980F6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（3）服务设备及物资投入及质量标准：_____________</w:t>
      </w:r>
    </w:p>
    <w:p w14:paraId="444D45C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5.4服务质量标准及要求：</w:t>
      </w:r>
    </w:p>
    <w:p w14:paraId="31372FA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B6DE71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768CFC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5.4.3其他要求：</w:t>
      </w:r>
    </w:p>
    <w:p w14:paraId="1CC86D2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六、服务履约验收或考核</w:t>
      </w:r>
    </w:p>
    <w:p w14:paraId="10492B2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4D09F8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七、甲方的权利与义务</w:t>
      </w:r>
    </w:p>
    <w:p w14:paraId="5E6BFBF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7.1甲方委派___________为联系人，联系方式 ___________，负责与乙方联系。如甲方联系人发生变更，甲方应书面告知乙方。</w:t>
      </w:r>
    </w:p>
    <w:p w14:paraId="775C3F4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7.2甲方应为乙方开展服务工作提供必要的工作条件，以及对内对外沟通和配合协助。</w:t>
      </w:r>
    </w:p>
    <w:p w14:paraId="15D1BB1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7.3甲方应于___________之前提供服务所需的全部资料，并对所提供材料真实性、完整性、合法性负责。</w:t>
      </w:r>
    </w:p>
    <w:p w14:paraId="2A0F3FA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FC4D06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7.5甲方应按本合同约定及时足额支付服务费用及相关费用。</w:t>
      </w:r>
    </w:p>
    <w:p w14:paraId="122246A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7.6其他</w:t>
      </w:r>
    </w:p>
    <w:p w14:paraId="34AAB7B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八、乙方的权利与义务</w:t>
      </w:r>
    </w:p>
    <w:p w14:paraId="0A4327E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8.1乙方委派___________为联系人，联系方式 ___________，负责与甲方联系。如乙方联系人发生变更，乙方应书面告知甲方</w:t>
      </w:r>
    </w:p>
    <w:p w14:paraId="0EF7188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8.2乙方应国家法律法规和{{乙方的权利与义务-响应要求-福建}}等要求开展{{乙方的权利与义务-开展服务-福建}}服务；</w:t>
      </w:r>
    </w:p>
    <w:p w14:paraId="7D1C14C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8.3乙方及其所委派服务人员应按标准或协议约定方式出具服务成果，并对其真实性和合法性负法律责任；</w:t>
      </w:r>
    </w:p>
    <w:p w14:paraId="780F658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7F8027E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8.5乙方对服务业务应当单独建档，保存完整的工作记录，并对服务过程使用和暂存甲方的文件、材料和财物应当妥善保管。</w:t>
      </w:r>
    </w:p>
    <w:p w14:paraId="0008B52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8.6服务工作结束后,乙方将根据情况对甲方服务相关的管理制度及其他事项等提出改进意见。</w:t>
      </w:r>
    </w:p>
    <w:p w14:paraId="0424E47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8.7乙方完全遵守《中华人民共和国劳动合同法》有关规定和《中华人民共和国妇女权益保障法》中关于“劳动和社会保障权益”的有关要求。</w:t>
      </w:r>
    </w:p>
    <w:p w14:paraId="27362C7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8.8其他</w:t>
      </w:r>
    </w:p>
    <w:p w14:paraId="55274C5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九、资金支付方式、时间和条件</w:t>
      </w:r>
      <w:r>
        <w:rPr>
          <w:rFonts w:hint="eastAsia" w:ascii="宋体" w:hAnsi="宋体" w:eastAsia="宋体" w:cs="宋体"/>
          <w:sz w:val="24"/>
          <w:szCs w:val="24"/>
        </w:rPr>
        <w:br w:type="textWrapping"/>
      </w:r>
    </w:p>
    <w:p w14:paraId="4A89B95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十、履约保证金</w:t>
      </w:r>
    </w:p>
    <w:p w14:paraId="76D618C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□有，□无。具体如下：（按照采购文件规定填写）。</w:t>
      </w:r>
    </w:p>
    <w:p w14:paraId="256156D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10.1乙方向甲方缴纳人民币 / 元作为本合同的履约保证金。</w:t>
      </w:r>
    </w:p>
    <w:p w14:paraId="665E3F2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10.2履约保证金缴纳形式：支票/汇票/电汇/保函等非现金形式。</w:t>
      </w:r>
    </w:p>
    <w:p w14:paraId="5145BE2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10.3履约保证金合同履行完毕前有效，合同履行完毕后一次性结清退还。</w:t>
      </w:r>
    </w:p>
    <w:p w14:paraId="7BE353A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十一、合同期限</w:t>
      </w:r>
      <w:r>
        <w:rPr>
          <w:rFonts w:hint="eastAsia" w:ascii="宋体" w:hAnsi="宋体" w:eastAsia="宋体" w:cs="宋体"/>
          <w:sz w:val="24"/>
          <w:szCs w:val="24"/>
        </w:rPr>
        <w:br w:type="textWrapping"/>
      </w:r>
    </w:p>
    <w:p w14:paraId="4C50042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十二、保密条款</w:t>
      </w:r>
    </w:p>
    <w:p w14:paraId="479B262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14:paraId="7FD53C6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12.2其他</w:t>
      </w:r>
    </w:p>
    <w:p w14:paraId="6110C62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十三、违约责任</w:t>
      </w:r>
    </w:p>
    <w:p w14:paraId="3A41420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13.1甲方违约责任</w:t>
      </w:r>
    </w:p>
    <w:p w14:paraId="6CB1326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（1）甲方无正当理由拒绝乙方提供合格服务的，甲方应向乙方偿付所拒收合同总价________的违约金</w:t>
      </w:r>
    </w:p>
    <w:p w14:paraId="2F67F8A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（2）甲方无故逾期验收和办理合同款项支付手续的,甲方应按逾期付款总额每日________向乙方支付违约金。</w:t>
      </w:r>
    </w:p>
    <w:p w14:paraId="7EFDDDA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（3）其他违约情形</w:t>
      </w:r>
    </w:p>
    <w:p w14:paraId="1FC64E8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13.2乙方违约责任</w:t>
      </w:r>
    </w:p>
    <w:p w14:paraId="0B258AF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505BEF9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396AA67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（3）乙方不按合同约定履约的，甲方可以解除采购合同，并对乙方已缴纳的履约保证金作“不予退还”处理。同时，乙方须按以下约定向甲方支付违约金：</w:t>
      </w:r>
    </w:p>
    <w:p w14:paraId="55DA701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（4）其他违约情形</w:t>
      </w:r>
    </w:p>
    <w:p w14:paraId="76C4311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十四、不可抗力事件处理</w:t>
      </w:r>
    </w:p>
    <w:p w14:paraId="56A74E7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C0309C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十五、解决争议的方法</w:t>
      </w:r>
    </w:p>
    <w:p w14:paraId="4D9E74C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15.1甲、乙双方协商解决。</w:t>
      </w:r>
    </w:p>
    <w:p w14:paraId="1F6B10D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15.2若协商解决不成，双方明确按以下第_种方式解决：</w:t>
      </w:r>
    </w:p>
    <w:p w14:paraId="08BB405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1、提交仲裁委员会仲裁，具体如下：</w:t>
      </w:r>
    </w:p>
    <w:p w14:paraId="6325A1F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2、向人民法院提起诉讼。</w:t>
      </w:r>
    </w:p>
    <w:p w14:paraId="18E05D9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十六、合同其他条款</w:t>
      </w:r>
      <w:r>
        <w:rPr>
          <w:rFonts w:hint="eastAsia" w:ascii="宋体" w:hAnsi="宋体" w:eastAsia="宋体" w:cs="宋体"/>
          <w:sz w:val="24"/>
          <w:szCs w:val="24"/>
        </w:rPr>
        <w:br w:type="textWrapping"/>
      </w:r>
    </w:p>
    <w:p w14:paraId="3818438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十七、其他约定</w:t>
      </w:r>
    </w:p>
    <w:p w14:paraId="32BF7EF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17.1合同文件与本合同具有同等法律效力。</w:t>
      </w:r>
    </w:p>
    <w:p w14:paraId="043E92A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F7B07B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17.3本合同未尽事宜，遵照《中华人民共和国民法典》有关条文执行。</w:t>
      </w:r>
    </w:p>
    <w:p w14:paraId="7537EC9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17.4本合同正本一式_______份，具有同等法律效力，甲方、乙方各执_______份；副本_______份，_______</w:t>
      </w:r>
    </w:p>
    <w:p w14:paraId="60CA5F1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17.5本合同已用于政府采购合同融资，为本项目提供合同融资的金融机构为：_______，甲方应及时将资金支付到本合同乙方账号。</w:t>
      </w:r>
    </w:p>
    <w:p w14:paraId="39D5A62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14:paraId="00F5691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17.6其他</w:t>
      </w:r>
    </w:p>
    <w:p w14:paraId="7E5669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 xml:space="preserve"> 十八、合同附件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C8523A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甲方（采购人）：</w:t>
      </w:r>
    </w:p>
    <w:p w14:paraId="11DA918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法定（授权）代表人：</w:t>
      </w:r>
    </w:p>
    <w:p w14:paraId="1CB9672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纳税人识别号：</w:t>
      </w:r>
    </w:p>
    <w:p w14:paraId="2B942C1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w:t>
      </w:r>
    </w:p>
    <w:p w14:paraId="34DB70D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账号：</w:t>
      </w:r>
    </w:p>
    <w:p w14:paraId="00A4781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乙方（中标或成交人）：</w:t>
      </w:r>
    </w:p>
    <w:p w14:paraId="1D347BA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法定（授权）代表人：</w:t>
      </w:r>
    </w:p>
    <w:p w14:paraId="0491C3D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纳税人识别号：</w:t>
      </w:r>
    </w:p>
    <w:p w14:paraId="248125B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w:t>
      </w:r>
    </w:p>
    <w:p w14:paraId="1EA5C84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账号：</w:t>
      </w:r>
    </w:p>
    <w:p w14:paraId="7510CD8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签订地点：_____________</w:t>
      </w:r>
    </w:p>
    <w:p w14:paraId="0149B05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签订日期：____年___月___日</w:t>
      </w:r>
    </w:p>
    <w:p w14:paraId="0D3BD98E">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32"/>
          <w:szCs w:val="32"/>
        </w:rPr>
      </w:pPr>
      <w:r>
        <w:rPr>
          <w:rFonts w:hint="eastAsia" w:ascii="宋体" w:hAnsi="宋体" w:eastAsia="宋体" w:cs="宋体"/>
          <w:b/>
          <w:sz w:val="32"/>
          <w:szCs w:val="32"/>
        </w:rPr>
        <w:t>第七章 电子投标文件格式</w:t>
      </w:r>
    </w:p>
    <w:p w14:paraId="1C9DAB16">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编制说明</w:t>
      </w:r>
    </w:p>
    <w:p w14:paraId="77C9D39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14:paraId="7D3D602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1.1涉及投标人的“全称”：</w:t>
      </w:r>
    </w:p>
    <w:p w14:paraId="46AF31C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14:paraId="003E922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14:paraId="7171188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1.2涉及投标人“加盖单位公章”：</w:t>
      </w:r>
    </w:p>
    <w:p w14:paraId="04573DE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14:paraId="1FCDE14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14:paraId="06A3A52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1.3涉及“投标人代表签字”：</w:t>
      </w:r>
    </w:p>
    <w:p w14:paraId="5F67D0B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14:paraId="7D85443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2FDFFC1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14:paraId="3994BD8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14:paraId="7CAE14F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14:paraId="1F4D43A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14:paraId="0760CB3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14:paraId="4410DFC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14:paraId="06934AF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14:paraId="18857786">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2D570C7">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封面格式(资格及资信证明部分)</w:t>
      </w:r>
    </w:p>
    <w:p w14:paraId="7DEB0FDA">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29963C6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（资格及资信证明部分）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F9C4D7E">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88E1CC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6BEC4B38">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6207113A">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2F5FDA3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D7F2FA9">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07438A3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70E85C46">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6B48A0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索引</w:t>
      </w:r>
    </w:p>
    <w:p w14:paraId="0C1CBEC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一、投标函</w:t>
      </w:r>
    </w:p>
    <w:p w14:paraId="4AF7985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14:paraId="0D4FC30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三、投标保证金</w:t>
      </w:r>
    </w:p>
    <w:p w14:paraId="57669F2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721747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07F968A7">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E35718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一、投标函</w:t>
      </w:r>
    </w:p>
    <w:p w14:paraId="2D3EEB4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93924E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 xml:space="preserve">（填写“项目名称”） </w:t>
      </w:r>
      <w:r>
        <w:rPr>
          <w:rFonts w:hint="eastAsia" w:ascii="宋体" w:hAnsi="宋体" w:eastAsia="宋体" w:cs="宋体"/>
          <w:sz w:val="24"/>
          <w:szCs w:val="24"/>
        </w:rPr>
        <w:t>项目</w:t>
      </w:r>
      <w:r>
        <w:rPr>
          <w:rFonts w:hint="eastAsia" w:ascii="宋体" w:hAnsi="宋体" w:eastAsia="宋体" w:cs="宋体"/>
          <w:sz w:val="24"/>
          <w:szCs w:val="24"/>
          <w:u w:val="single"/>
        </w:rPr>
        <w:t xml:space="preserve">（项目编号：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 xml:space="preserve">（填写“全名”）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14:paraId="6552D76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14:paraId="2F000FA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①投标函</w:t>
      </w:r>
    </w:p>
    <w:p w14:paraId="058FCDE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1DDF03E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14:paraId="33B5ADC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（2）报价部分</w:t>
      </w:r>
    </w:p>
    <w:p w14:paraId="159731C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14:paraId="7DD3B28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14:paraId="761BAD3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2628226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162D49D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14:paraId="69BBD3D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14:paraId="39556FF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51ABEC7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14:paraId="2053CEC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7F01EB9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14:paraId="7995B66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1、确认：</w:t>
      </w:r>
    </w:p>
    <w:p w14:paraId="0778F13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14:paraId="7BABBC2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5BBE880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2、承诺及声明：</w:t>
      </w:r>
    </w:p>
    <w:p w14:paraId="797309A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14:paraId="2E0CBD4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6F6DCFA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14:paraId="4D30692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14:paraId="29E88F6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14:paraId="37DCA28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14:paraId="15C566A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327316F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2.8我方承诺遵守《中华人民共和国劳动合同法》有关规定和《中华人民共和国妇女权益保障法 》中关于“劳动和社会保障权益”的有关要求。</w:t>
      </w:r>
    </w:p>
    <w:p w14:paraId="299ADE9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43E382D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2.10除招标文件另有规定外，对于贵单位按照下述联络方式发出的任何信息或通知，均视为我方已收悉前述信息或通知的全部内容：</w:t>
      </w:r>
    </w:p>
    <w:p w14:paraId="6D079C7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通信地址：                                        </w:t>
      </w:r>
    </w:p>
    <w:p w14:paraId="5F08576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0CDBA07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14:paraId="15747E1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14:paraId="183604C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1E07B6B7">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4EEC28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二、投标人的资格及资信证明文件</w:t>
      </w:r>
    </w:p>
    <w:p w14:paraId="44E18383">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二-1单位授权书（若有）</w:t>
      </w:r>
    </w:p>
    <w:p w14:paraId="43F5D9A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3BB41F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DBD8B5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投标人代表无转委权。特此授权。</w:t>
      </w:r>
    </w:p>
    <w:p w14:paraId="7D5AE29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（以下无正文）</w:t>
      </w:r>
    </w:p>
    <w:p w14:paraId="129CDAA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49498F6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697F41C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授权方</w:t>
      </w:r>
    </w:p>
    <w:p w14:paraId="4BCC2F9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5DCFF2A">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签署日期： 年 月 日</w:t>
      </w:r>
    </w:p>
    <w:p w14:paraId="07C4C63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14:paraId="1F79CA20">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14:paraId="33E13D5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A7D7F5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16C568D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ED2A75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6D2D29C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14:paraId="15134B7B">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AB69ED5">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二-2营业执照等证明文件</w:t>
      </w:r>
    </w:p>
    <w:p w14:paraId="62CB71C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4A4F18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14:paraId="7C6F3B2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14:paraId="241D207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14:paraId="7A38E6C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14:paraId="389D72A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14:paraId="5C16EEA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3074E9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6683B27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BBA279E">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72B2BCF">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CA66081">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26EF31D">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二-3财务状况报告（财务报告、或资信证明）</w:t>
      </w:r>
    </w:p>
    <w:p w14:paraId="7D4F057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42C6DB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）投标人提供财务报告的</w:t>
      </w:r>
    </w:p>
    <w:p w14:paraId="7C13C40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76545D6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286BECA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53A8B4F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）投标人提供资信证明的</w:t>
      </w:r>
    </w:p>
    <w:p w14:paraId="52C453F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5E8B046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4C58869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1A21643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14:paraId="0D9A8C6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14:paraId="63BB997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14:paraId="7B5EA21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14:paraId="6D2461A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8C2131B">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784D9C60">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0EAE3A0">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50F7C60">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二-4依法缴纳税收证明材料</w:t>
      </w:r>
    </w:p>
    <w:p w14:paraId="1D19EDC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2C8647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1、依法缴纳税收的投标人</w:t>
      </w:r>
    </w:p>
    <w:p w14:paraId="156237E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564F89A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0EFB5F1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62B202A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01CCDCC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2、依法免税的投标人</w:t>
      </w:r>
    </w:p>
    <w:p w14:paraId="05CDF52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14:paraId="5879629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F15859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4ED177B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14:paraId="4769333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35B9015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0F68E8D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14:paraId="7959ADCF">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A95C92C">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0897CA14">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8547B0D">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二-5依法缴纳社会保障资金证明材料</w:t>
      </w:r>
    </w:p>
    <w:p w14:paraId="25A12B2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E72323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14:paraId="7BE1CF3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73E30A9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BE7CFC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7E0C56C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090387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14:paraId="58CC906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14:paraId="0D4363A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105972B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14:paraId="1BC1A77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14:paraId="50A9A15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1A58587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14:paraId="030DE5C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5DF07AA6">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16D4DA44">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2C0E8F8">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E23B009">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二-6具备履行合同所必需设备和专业技术能力的声明函（若有）</w:t>
      </w:r>
    </w:p>
    <w:p w14:paraId="561B7C1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FC56C7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14:paraId="790FFF97">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480A869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DBE6FB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14:paraId="7654213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14:paraId="0BF17FC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14:paraId="4F186E15">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F7B6AF3">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DD5A418">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5AF788B">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二-7参加采购活动前三年内在经营活动中没有重大违法记录书面声明</w:t>
      </w:r>
    </w:p>
    <w:p w14:paraId="2A5085B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CF48B0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7489673">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0FDD65F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4558455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500234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14:paraId="2F2AC71C">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644B3C9">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083CBD5">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7327902">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二-8信用记录查询提示</w:t>
      </w:r>
    </w:p>
    <w:p w14:paraId="02FC861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14:paraId="228FB1D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8B9B64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266568B">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393F8F9">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二-9中小企业声明函</w:t>
      </w:r>
    </w:p>
    <w:p w14:paraId="102B0C5A">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42C31B2D">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7A2AC5A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DA4C62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4D7B06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712686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4FEAD0F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A34744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C2D3F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5B307B1B">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B12F23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B467C7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2674882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4FBA8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6FBAD09">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38A0ACB">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225C296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8DDC1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7DC0F7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7829A6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104FF7C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3AB488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AB2D325">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EF1A73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2CE9425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46E8DF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0EE4E4A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8A6D5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DA7102">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E31BBA3">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残疾人福利性单位声明函</w:t>
      </w:r>
    </w:p>
    <w:p w14:paraId="0B9C8F51">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14:paraId="03AEFE8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5D83A0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E4E947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6272018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7F11D00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1FA6456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6290774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0587060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340DFF6C">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C4E25F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7EC080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7FA6C9AB">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3461791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0BCF8468">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3F41931">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二-10联合体协议（若有）</w:t>
      </w:r>
    </w:p>
    <w:p w14:paraId="310DF5A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721605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14:paraId="04AD043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361C64E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 xml:space="preserve">（填写“工作及义务的具体内容”） </w:t>
      </w:r>
      <w:r>
        <w:rPr>
          <w:rFonts w:hint="eastAsia" w:ascii="宋体" w:hAnsi="宋体" w:eastAsia="宋体" w:cs="宋体"/>
          <w:sz w:val="24"/>
          <w:szCs w:val="24"/>
        </w:rPr>
        <w:t>；</w:t>
      </w:r>
    </w:p>
    <w:p w14:paraId="384DD3D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16FAAD7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xml:space="preserve"> ；</w:t>
      </w:r>
    </w:p>
    <w:p w14:paraId="37B1C00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16764DD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379316C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xml:space="preserve"> 全称</w:t>
      </w:r>
      <w:r>
        <w:rPr>
          <w:rFonts w:hint="eastAsia" w:ascii="宋体" w:hAnsi="宋体" w:eastAsia="宋体" w:cs="宋体"/>
          <w:sz w:val="24"/>
          <w:szCs w:val="24"/>
        </w:rPr>
        <w:t xml:space="preserve">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63DB375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2.成员方：</w:t>
      </w:r>
    </w:p>
    <w:p w14:paraId="6AF9E3C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xml:space="preserve">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1FD959F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49A5A18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三、联合体各方约定：</w:t>
      </w:r>
    </w:p>
    <w:p w14:paraId="7EF9145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D11729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14:paraId="1D65784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859143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7DAD6A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28A1C2B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14:paraId="51ACC20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（以下无正文）</w:t>
      </w:r>
    </w:p>
    <w:p w14:paraId="64311AD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09269AF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222738F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698E566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0AABB9C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3486965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343BCD1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5B6C1889">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14:paraId="335E067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3A7C576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14:paraId="3030D24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0CF148A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14:paraId="57E661A5">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409701B">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二-11分包意向协议（若有）</w:t>
      </w:r>
    </w:p>
    <w:p w14:paraId="67C5D89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14:paraId="4F0C48E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14BC076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7302A12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一、分包标的</w:t>
      </w:r>
    </w:p>
    <w:p w14:paraId="366575C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64D1A8F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二、分包合同金额占比</w:t>
      </w:r>
    </w:p>
    <w:p w14:paraId="7AAB5D7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18085F1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三、其他条款</w:t>
      </w:r>
    </w:p>
    <w:p w14:paraId="3F0002C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8FB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6B8EB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14:paraId="67604FB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乙方：</w:t>
            </w:r>
          </w:p>
        </w:tc>
      </w:tr>
      <w:tr w14:paraId="61616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2611A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14:paraId="4FE4969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住所：</w:t>
            </w:r>
          </w:p>
        </w:tc>
      </w:tr>
      <w:tr w14:paraId="3414A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830AE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14:paraId="281A47D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01CC1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09108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14:paraId="7E8F088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14:paraId="581EE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6AD19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14:paraId="6D03DE2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5071E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F602C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14:paraId="59B9D9B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账号：</w:t>
            </w:r>
          </w:p>
        </w:tc>
      </w:tr>
      <w:tr w14:paraId="63265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5546FE0">
            <w:pPr>
              <w:pStyle w:val="6"/>
              <w:keepNext w:val="0"/>
              <w:keepLines w:val="0"/>
              <w:pageBreakBefore w:val="0"/>
              <w:kinsoku/>
              <w:wordWrap/>
              <w:overflowPunct/>
              <w:topLinePunct w:val="0"/>
              <w:autoSpaceDE/>
              <w:autoSpaceDN/>
              <w:bidi w:val="0"/>
              <w:adjustRightInd w:val="0"/>
              <w:snapToGrid w:val="0"/>
              <w:spacing w:line="240" w:lineRule="auto"/>
              <w:ind w:left="0" w:firstLine="960"/>
              <w:jc w:val="righ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0C52C53A">
            <w:pPr>
              <w:pStyle w:val="6"/>
              <w:keepNext w:val="0"/>
              <w:keepLines w:val="0"/>
              <w:pageBreakBefore w:val="0"/>
              <w:kinsoku/>
              <w:wordWrap/>
              <w:overflowPunct/>
              <w:topLinePunct w:val="0"/>
              <w:autoSpaceDE/>
              <w:autoSpaceDN/>
              <w:bidi w:val="0"/>
              <w:adjustRightInd w:val="0"/>
              <w:snapToGrid w:val="0"/>
              <w:spacing w:line="240" w:lineRule="auto"/>
              <w:ind w:left="0" w:firstLine="960"/>
              <w:jc w:val="right"/>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77091EC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4425C0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14:paraId="636FEB1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4CA2A26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14:paraId="69307C3B">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49A4EC1">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二-12其他资格证明文件（若有）</w:t>
      </w:r>
    </w:p>
    <w:p w14:paraId="2A9DC50A">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二-12-①具备履行合同所必需设备和专业技术能力专项证明材料（若有）</w:t>
      </w:r>
    </w:p>
    <w:p w14:paraId="7CF30E8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8A1F1A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14:paraId="7D16A33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5EB8D8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14:paraId="69B41DA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14:paraId="1CAC3012">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DEEBF1D">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5BE2A90">
      <w:pPr>
        <w:pStyle w:val="6"/>
        <w:keepNext w:val="0"/>
        <w:keepLines w:val="0"/>
        <w:pageBreakBefore w:val="0"/>
        <w:kinsoku/>
        <w:wordWrap/>
        <w:overflowPunct/>
        <w:topLinePunct w:val="0"/>
        <w:autoSpaceDE/>
        <w:autoSpaceDN/>
        <w:bidi w:val="0"/>
        <w:adjustRightInd w:val="0"/>
        <w:snapToGrid w:val="0"/>
        <w:spacing w:line="240" w:lineRule="auto"/>
        <w:ind w:left="0"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92639F6">
      <w:pPr>
        <w:pStyle w:val="6"/>
        <w:keepNext w:val="0"/>
        <w:keepLines w:val="0"/>
        <w:pageBreakBefore w:val="0"/>
        <w:kinsoku/>
        <w:wordWrap/>
        <w:overflowPunct/>
        <w:topLinePunct w:val="0"/>
        <w:autoSpaceDE/>
        <w:autoSpaceDN/>
        <w:bidi w:val="0"/>
        <w:adjustRightInd w:val="0"/>
        <w:snapToGrid w:val="0"/>
        <w:spacing w:line="240" w:lineRule="auto"/>
        <w:ind w:left="0" w:firstLine="96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二-12-②招标文件规定的其他资格证明文件（若有）</w:t>
      </w:r>
    </w:p>
    <w:p w14:paraId="6D514100">
      <w:pPr>
        <w:pStyle w:val="6"/>
        <w:keepNext w:val="0"/>
        <w:keepLines w:val="0"/>
        <w:pageBreakBefore w:val="0"/>
        <w:kinsoku/>
        <w:wordWrap/>
        <w:overflowPunct/>
        <w:topLinePunct w:val="0"/>
        <w:autoSpaceDE/>
        <w:autoSpaceDN/>
        <w:bidi w:val="0"/>
        <w:adjustRightInd w:val="0"/>
        <w:snapToGrid w:val="0"/>
        <w:spacing w:line="240" w:lineRule="auto"/>
        <w:ind w:lef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7153B0F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14:paraId="5CB7C0CD">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DF044DC">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三、投标保证金</w:t>
      </w:r>
    </w:p>
    <w:p w14:paraId="4BFBDBB8">
      <w:pPr>
        <w:pStyle w:val="6"/>
        <w:keepNext w:val="0"/>
        <w:keepLines w:val="0"/>
        <w:pageBreakBefore w:val="0"/>
        <w:kinsoku/>
        <w:wordWrap/>
        <w:overflowPunct/>
        <w:topLinePunct w:val="0"/>
        <w:autoSpaceDE/>
        <w:autoSpaceDN/>
        <w:bidi w:val="0"/>
        <w:adjustRightInd w:val="0"/>
        <w:snapToGrid w:val="0"/>
        <w:spacing w:line="240" w:lineRule="auto"/>
        <w:ind w:lef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1588EB8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14:paraId="598488B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14:paraId="5EE5FF03">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BC9CA4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封面格式(报价部分)</w:t>
      </w:r>
    </w:p>
    <w:p w14:paraId="1DB6A4B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799020E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（报价部分）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451C91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A0BCD56">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57F6F01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6E17ABFC">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4EBD053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B39A745">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00A6D20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59405AE5">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F46375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索引</w:t>
      </w:r>
    </w:p>
    <w:p w14:paraId="1C48980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一、开标一览表</w:t>
      </w:r>
    </w:p>
    <w:p w14:paraId="08E4493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二、投标分项报价表</w:t>
      </w:r>
    </w:p>
    <w:p w14:paraId="41D89AF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14:paraId="3E02B8A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6B02187">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一、开标一览表</w:t>
      </w:r>
    </w:p>
    <w:p w14:paraId="0F2312D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14:paraId="519A5FD6">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862B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0ED5B0E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2076" w:type="dxa"/>
          </w:tcPr>
          <w:p w14:paraId="024CC2A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2076" w:type="dxa"/>
          </w:tcPr>
          <w:p w14:paraId="501F260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2076" w:type="dxa"/>
          </w:tcPr>
          <w:p w14:paraId="2860D89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4BBA0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3C9BF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14A78CF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2076" w:type="dxa"/>
          </w:tcPr>
          <w:p w14:paraId="54080BCF">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2076" w:type="dxa"/>
            <w:vMerge w:val="restart"/>
          </w:tcPr>
          <w:p w14:paraId="2CC495F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14:paraId="5555722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14:paraId="658C6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16939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3CE8825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2076" w:type="dxa"/>
          </w:tcPr>
          <w:p w14:paraId="5D94FEC8">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2076" w:type="dxa"/>
            <w:vMerge w:val="continue"/>
          </w:tcPr>
          <w:p w14:paraId="18013B2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bl>
    <w:p w14:paraId="59689A3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FA45E9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1F8A4AB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14:paraId="2368572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14:paraId="7AB6ADF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14:paraId="5BB49303">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6A33BB1">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D30E2F9">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ED40819">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二、投标分项报价表</w:t>
      </w:r>
    </w:p>
    <w:p w14:paraId="4450A80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14:paraId="02F57130">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E55F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961065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923" w:type="dxa"/>
          </w:tcPr>
          <w:p w14:paraId="48DD1BC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923" w:type="dxa"/>
          </w:tcPr>
          <w:p w14:paraId="162FD0F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投标标的</w:t>
            </w:r>
          </w:p>
        </w:tc>
        <w:tc>
          <w:tcPr>
            <w:tcW w:w="923" w:type="dxa"/>
          </w:tcPr>
          <w:p w14:paraId="23FEF27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923" w:type="dxa"/>
          </w:tcPr>
          <w:p w14:paraId="62FA09E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来源地</w:t>
            </w:r>
          </w:p>
        </w:tc>
        <w:tc>
          <w:tcPr>
            <w:tcW w:w="923" w:type="dxa"/>
          </w:tcPr>
          <w:p w14:paraId="75FB5A9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923" w:type="dxa"/>
          </w:tcPr>
          <w:p w14:paraId="4319EB8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23" w:type="dxa"/>
          </w:tcPr>
          <w:p w14:paraId="6B61871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923" w:type="dxa"/>
          </w:tcPr>
          <w:p w14:paraId="6DC173B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478B3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73031C3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14:paraId="401C495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23" w:type="dxa"/>
          </w:tcPr>
          <w:p w14:paraId="736CA1C1">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29FDE0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2C71F6E">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661081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78E291F1">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951C81B">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20D7CA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2DD65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1D46C6F3">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BD346A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14:paraId="4EC7BE6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5D8C7AB">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82F290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54E7FA70">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0E7FC121">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74F63AD">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312FE95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0B0B5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3420DC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14:paraId="498C0CCF">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4FBF13ED">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7B44DF4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56CC11A">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4ABFD89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19B3C18F">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6BF15E4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923" w:type="dxa"/>
          </w:tcPr>
          <w:p w14:paraId="0A17FF88">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bl>
    <w:p w14:paraId="6ED26DC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6DA687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217B07A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4C592FA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14:paraId="32435FA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14:paraId="53BC4C4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1.4同一采购包中，“单价”×“数量”=“总价”，全部品目号“总价”的合计金额应与《开标一览表》中相应采购包列示的“投标总价”保持一致。</w:t>
      </w:r>
    </w:p>
    <w:p w14:paraId="7E94308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14:paraId="072861B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84DEF5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D8DA5D4">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B4DA04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三、招标文件规定的价格扣除证明材料（若有）</w:t>
      </w:r>
    </w:p>
    <w:p w14:paraId="0B0510B5">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三-1优先类节能产品、环境标志产品价格扣除证明材料（若有）</w:t>
      </w:r>
    </w:p>
    <w:p w14:paraId="2D344DAE">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三-1-①优先类节能产品、环境标志产品统计表（价格扣除适用，若有）</w:t>
      </w:r>
    </w:p>
    <w:p w14:paraId="408BF29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14:paraId="63E28909">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8433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16C65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7122" w:type="dxa"/>
            <w:gridSpan w:val="6"/>
          </w:tcPr>
          <w:p w14:paraId="6063825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本采购包内属于节能、环境标志产品的报价情况</w:t>
            </w:r>
          </w:p>
        </w:tc>
      </w:tr>
      <w:tr w14:paraId="697B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EDD8E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14:paraId="7D708CC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F21AD4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187" w:type="dxa"/>
          </w:tcPr>
          <w:p w14:paraId="77DFB3E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1187" w:type="dxa"/>
          </w:tcPr>
          <w:p w14:paraId="5D53BC6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0F25F5F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1187" w:type="dxa"/>
          </w:tcPr>
          <w:p w14:paraId="2850D49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14:paraId="2B283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958484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1EC106D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236FC6DA">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00C01D4B">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771E533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5827F5A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6D2F6A91">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3F451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8F1D0D3">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037614B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22617F3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p>
        </w:tc>
        <w:tc>
          <w:tcPr>
            <w:tcW w:w="1187" w:type="dxa"/>
          </w:tcPr>
          <w:p w14:paraId="0C1739EC">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5760C32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7D66E02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52D8A4FB">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5CE837B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0ADD8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80728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7122" w:type="dxa"/>
            <w:gridSpan w:val="6"/>
          </w:tcPr>
          <w:p w14:paraId="059214B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tc>
      </w:tr>
    </w:tbl>
    <w:p w14:paraId="71B47F7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6973BC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14:paraId="413D9B3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7FDFCB4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3、具体统计、计算：</w:t>
      </w:r>
    </w:p>
    <w:p w14:paraId="0A4F047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3.1同一品目中各认证证书不重复计算价格扣除。强制类节能产品不享受价格扣除。</w:t>
      </w:r>
    </w:p>
    <w:p w14:paraId="133B3A6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3A955BC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w:t>
      </w:r>
    </w:p>
    <w:p w14:paraId="18BDD1C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6B00A946">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9F00373">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50D6BE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0133A7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三-1-②优先类节能产品、环境标志产品证明材料（价格扣除适用，若有）</w:t>
      </w:r>
    </w:p>
    <w:p w14:paraId="3F126F1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三-2小型、微型企业产品等价格扣除证明材料（若有）</w:t>
      </w:r>
    </w:p>
    <w:p w14:paraId="564CB33F">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三-2-①中小企业声明函（价格扣除适用，若有）</w:t>
      </w:r>
    </w:p>
    <w:p w14:paraId="0AF28CDC">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中小企业声明函（货物）</w:t>
      </w:r>
    </w:p>
    <w:p w14:paraId="51E6EE2C">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AA2B2C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1FC9DF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239DDB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21DEB11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CF2ACC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21E60E5">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3819FF7">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51D39C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6277F1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603689D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04F58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9443A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757701C">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中小企业声明函（工程、服务）</w:t>
      </w:r>
    </w:p>
    <w:p w14:paraId="0592CDA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CE44F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3A3392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6A433C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179A09D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5A0D39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86D37AA">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410BB39B">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0C84D0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459CD07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0AA94AB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7164A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D7A4F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4483510">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三-2-②小型、微型企业等证明材料（价格扣除适用，若有）</w:t>
      </w:r>
    </w:p>
    <w:p w14:paraId="054CC5EC">
      <w:pPr>
        <w:pStyle w:val="6"/>
        <w:keepNext w:val="0"/>
        <w:keepLines w:val="0"/>
        <w:pageBreakBefore w:val="0"/>
        <w:kinsoku/>
        <w:wordWrap/>
        <w:overflowPunct/>
        <w:topLinePunct w:val="0"/>
        <w:autoSpaceDE/>
        <w:autoSpaceDN/>
        <w:bidi w:val="0"/>
        <w:adjustRightInd w:val="0"/>
        <w:snapToGrid w:val="0"/>
        <w:spacing w:line="240" w:lineRule="auto"/>
        <w:ind w:lef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4BA011E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14:paraId="104A78A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14:paraId="37B53AE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7564C1A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232200B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残疾人福利性单位声明函（价格扣除适用，若有）</w:t>
      </w:r>
    </w:p>
    <w:p w14:paraId="4E7A31A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D3A2A4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569A3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14:paraId="5E2836C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14:paraId="2AAD50ED">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14:paraId="08C851C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039AD901">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14:paraId="03BB7A2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14:paraId="5D6D7FE2">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203E1192">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310F6E3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A44F19A">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w:t>
      </w:r>
    </w:p>
    <w:p w14:paraId="483B9FC7">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监狱企业证明材料</w:t>
      </w:r>
    </w:p>
    <w:p w14:paraId="1C1D4AB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697526B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71CA66D">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三-3招标文件规定的其他价格扣除证明材料（若有）</w:t>
      </w:r>
    </w:p>
    <w:p w14:paraId="692D5455">
      <w:pPr>
        <w:pStyle w:val="6"/>
        <w:keepNext w:val="0"/>
        <w:keepLines w:val="0"/>
        <w:pageBreakBefore w:val="0"/>
        <w:kinsoku/>
        <w:wordWrap/>
        <w:overflowPunct/>
        <w:topLinePunct w:val="0"/>
        <w:autoSpaceDE/>
        <w:autoSpaceDN/>
        <w:bidi w:val="0"/>
        <w:adjustRightInd w:val="0"/>
        <w:snapToGrid w:val="0"/>
        <w:spacing w:line="240" w:lineRule="auto"/>
        <w:ind w:lef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312931B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11A18919">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2A35068">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封面格式(技术商务部分)</w:t>
      </w:r>
    </w:p>
    <w:p w14:paraId="35D9B819">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福建省政府采购投标文件</w:t>
      </w:r>
    </w:p>
    <w:p w14:paraId="734FFF7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0"/>
        <w:rPr>
          <w:rFonts w:hint="eastAsia" w:ascii="宋体" w:hAnsi="宋体" w:eastAsia="宋体" w:cs="宋体"/>
          <w:sz w:val="24"/>
          <w:szCs w:val="24"/>
        </w:rPr>
      </w:pPr>
      <w:r>
        <w:rPr>
          <w:rFonts w:hint="eastAsia" w:ascii="宋体" w:hAnsi="宋体" w:eastAsia="宋体" w:cs="宋体"/>
          <w:b/>
          <w:sz w:val="24"/>
          <w:szCs w:val="24"/>
        </w:rPr>
        <w:t>（技术商务部分）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4123971">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1"/>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15C23D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（项目名称：（由投标人填写）</w:t>
      </w:r>
    </w:p>
    <w:p w14:paraId="1F5A5058">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（备案编号：（由投标人填写）</w:t>
      </w:r>
    </w:p>
    <w:p w14:paraId="3E19088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（项目编号：（由投标人填写）</w:t>
      </w:r>
    </w:p>
    <w:p w14:paraId="0244E778">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BD42D22">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投标人：（填写“全称”）</w:t>
      </w:r>
    </w:p>
    <w:p w14:paraId="48F8D1EC">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14:paraId="2A6F4E2F">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334722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索引</w:t>
      </w:r>
    </w:p>
    <w:p w14:paraId="245F52C2">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一、标的说明一览表</w:t>
      </w:r>
    </w:p>
    <w:p w14:paraId="64040D7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二、技术和服务要求响应表</w:t>
      </w:r>
    </w:p>
    <w:p w14:paraId="046B7CD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三、商务条件响应表</w:t>
      </w:r>
    </w:p>
    <w:p w14:paraId="183ED09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四、投标人提交的其他资料（若有）</w:t>
      </w:r>
    </w:p>
    <w:p w14:paraId="132A6D5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8406C48">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14:paraId="2E4BDE9A">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467F598">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一、标的说明一览表</w:t>
      </w:r>
    </w:p>
    <w:p w14:paraId="2EEDCB1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526F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00979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14:paraId="4CDB228B">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5FDCF6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投标标的</w:t>
            </w:r>
          </w:p>
        </w:tc>
        <w:tc>
          <w:tcPr>
            <w:tcW w:w="1187" w:type="dxa"/>
          </w:tcPr>
          <w:p w14:paraId="48EBB0E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31C3951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1187" w:type="dxa"/>
          </w:tcPr>
          <w:p w14:paraId="5B648AA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来源地</w:t>
            </w:r>
          </w:p>
        </w:tc>
        <w:tc>
          <w:tcPr>
            <w:tcW w:w="1187" w:type="dxa"/>
          </w:tcPr>
          <w:p w14:paraId="792EBBD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097BD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D9B42A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6AE6D53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1D38068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7D50F1D6">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0FC8470E">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4AEB4C9F">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4CB0A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653F59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4CF061B0">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4FFEBAD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5F119BB8">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3B380B9E">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04AFFD30">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11467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9084438">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2682C2AF">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679DC55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6EB59B0C">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1722A78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187" w:type="dxa"/>
          </w:tcPr>
          <w:p w14:paraId="3C4EA3B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bl>
    <w:p w14:paraId="448D65F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2992383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488C96E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14:paraId="2692AA6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7A39E1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7D74244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2FC8F3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14:paraId="3F3F80A1">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3BBBBED9">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3513DEBD">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CD8AA9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二、技术和服务要求响应表</w:t>
      </w:r>
    </w:p>
    <w:p w14:paraId="597EE8E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1F4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11D2B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14:paraId="385B358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14:paraId="154436F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技术和服务要求</w:t>
            </w:r>
          </w:p>
        </w:tc>
        <w:tc>
          <w:tcPr>
            <w:tcW w:w="1661" w:type="dxa"/>
          </w:tcPr>
          <w:p w14:paraId="25B67872">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14:paraId="5FDEC1B6">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01DEB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012714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4425EAE4">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14:paraId="75491C75">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34FBE36E">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497BCB7B">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5E976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CAC382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36F3F47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6DC99812">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28D2093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33A55FFE">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7DD95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D649FD7">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1831BD32">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0CF89BC1">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12148E2C">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0F69D1B3">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bl>
    <w:p w14:paraId="4C29EBDB">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64C5592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076CB2B9">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14:paraId="4A8E485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C55705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5BC02680">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7A995D03">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992F51A">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767FF7B4">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DB5EDD4">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三、商务条件响应表</w:t>
      </w:r>
    </w:p>
    <w:p w14:paraId="5463EDC4">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D968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206C61E">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14:paraId="0F45A94D">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14:paraId="40D2ED85">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商务条件</w:t>
            </w:r>
          </w:p>
        </w:tc>
        <w:tc>
          <w:tcPr>
            <w:tcW w:w="1661" w:type="dxa"/>
          </w:tcPr>
          <w:p w14:paraId="76B49CF3">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14:paraId="3FE8AABA">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74032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8D3EC7F">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6E33BBB9">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14:paraId="1ABD1460">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0229522A">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2A396FE7">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191F3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42161E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16CDAE5C">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2DAE8C8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7179D5D4">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4E2B496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r w14:paraId="4F639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9CC5971">
            <w:pPr>
              <w:pStyle w:val="6"/>
              <w:keepNext w:val="0"/>
              <w:keepLines w:val="0"/>
              <w:pageBreakBefore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14:paraId="7EF6EC1D">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52E9F5C6">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1226F7F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c>
          <w:tcPr>
            <w:tcW w:w="1661" w:type="dxa"/>
          </w:tcPr>
          <w:p w14:paraId="3FB63D89">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p>
        </w:tc>
      </w:tr>
    </w:tbl>
    <w:p w14:paraId="2D817436">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364042F7">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2210D4D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14:paraId="2C7CB4D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5C9A9F6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14:paraId="381AF4B5">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19C3A12E">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14:paraId="6665934A">
      <w:pPr>
        <w:pStyle w:val="6"/>
        <w:keepNext w:val="0"/>
        <w:keepLines w:val="0"/>
        <w:pageBreakBefore w:val="0"/>
        <w:kinsoku/>
        <w:wordWrap/>
        <w:overflowPunct/>
        <w:topLinePunct w:val="0"/>
        <w:autoSpaceDE/>
        <w:autoSpaceDN/>
        <w:bidi w:val="0"/>
        <w:adjustRightInd w:val="0"/>
        <w:snapToGrid w:val="0"/>
        <w:spacing w:line="240" w:lineRule="auto"/>
        <w:ind w:left="0"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64BC7F03">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30D098B">
      <w:pPr>
        <w:pStyle w:val="6"/>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四、投标人提交的其他资料（若有）</w:t>
      </w:r>
    </w:p>
    <w:p w14:paraId="2F8DDD65">
      <w:pPr>
        <w:pStyle w:val="6"/>
        <w:keepNext w:val="0"/>
        <w:keepLines w:val="0"/>
        <w:pageBreakBefore w:val="0"/>
        <w:kinsoku/>
        <w:wordWrap/>
        <w:overflowPunct/>
        <w:topLinePunct w:val="0"/>
        <w:autoSpaceDE/>
        <w:autoSpaceDN/>
        <w:bidi w:val="0"/>
        <w:adjustRightInd w:val="0"/>
        <w:snapToGrid w:val="0"/>
        <w:spacing w:line="240" w:lineRule="auto"/>
        <w:ind w:lef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编制说明</w:t>
      </w:r>
    </w:p>
    <w:p w14:paraId="3A8DADF3">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14:paraId="20D40A1F">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14:paraId="22AF9A5E">
      <w:pPr>
        <w:pStyle w:val="6"/>
        <w:keepNext w:val="0"/>
        <w:keepLines w:val="0"/>
        <w:pageBreakBefore w:val="0"/>
        <w:kinsoku/>
        <w:wordWrap/>
        <w:overflowPunct/>
        <w:topLinePunct w:val="0"/>
        <w:autoSpaceDE/>
        <w:autoSpaceDN/>
        <w:bidi w:val="0"/>
        <w:adjustRightInd w:val="0"/>
        <w:snapToGrid w:val="0"/>
        <w:spacing w:line="240" w:lineRule="auto"/>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14:paraId="05E114BC">
      <w:pPr>
        <w:pStyle w:val="6"/>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4"/>
          <w:szCs w:val="24"/>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EB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CC7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CC7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OWUxOTE5YjU0ZjQxNGNkYzZkN2Q1MWYxMGQ0YzYifQ=="/>
  </w:docVars>
  <w:rsids>
    <w:rsidRoot w:val="53B52B8D"/>
    <w:rsid w:val="06D92308"/>
    <w:rsid w:val="0FD07F64"/>
    <w:rsid w:val="177F50ED"/>
    <w:rsid w:val="20FA5B3C"/>
    <w:rsid w:val="23442EEA"/>
    <w:rsid w:val="384F0C8B"/>
    <w:rsid w:val="53B52B8D"/>
    <w:rsid w:val="77F79321"/>
    <w:rsid w:val="7C25376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2117</Words>
  <Characters>2367</Characters>
  <Lines>0</Lines>
  <Paragraphs>0</Paragraphs>
  <TotalTime>0</TotalTime>
  <ScaleCrop>false</ScaleCrop>
  <LinksUpToDate>false</LinksUpToDate>
  <CharactersWithSpaces>2399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p:lastModifiedBy>
  <dcterms:modified xsi:type="dcterms:W3CDTF">2024-10-22T08:39:47Z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