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color w:val="auto"/>
          <w:highlight w:val="none"/>
        </w:rPr>
      </w:pPr>
      <w:r>
        <w:rPr>
          <w:b/>
          <w:color w:val="auto"/>
          <w:sz w:val="36"/>
          <w:highlight w:val="none"/>
        </w:rPr>
        <w:t>采购内容及要求</w:t>
      </w:r>
    </w:p>
    <w:p>
      <w:pPr>
        <w:pStyle w:val="4"/>
        <w:jc w:val="left"/>
        <w:outlineLvl w:val="2"/>
        <w:rPr>
          <w:color w:val="auto"/>
          <w:highlight w:val="none"/>
        </w:rPr>
      </w:pPr>
      <w:r>
        <w:rPr>
          <w:b/>
          <w:color w:val="auto"/>
          <w:sz w:val="28"/>
          <w:highlight w:val="none"/>
        </w:rPr>
        <w:t>一、（根据本项目实际情况，填写“采购标的”或“项目概况”）</w:t>
      </w:r>
    </w:p>
    <w:p>
      <w:pPr>
        <w:pStyle w:val="4"/>
        <w:ind w:firstLine="480" w:firstLineChars="200"/>
        <w:jc w:val="left"/>
        <w:rPr>
          <w:color w:val="auto"/>
          <w:highlight w:val="none"/>
        </w:rPr>
      </w:pPr>
      <w:r>
        <w:rPr>
          <w:rFonts w:ascii="宋体" w:hAnsi="宋体" w:eastAsia="宋体" w:cs="宋体"/>
          <w:color w:val="auto"/>
          <w:sz w:val="24"/>
          <w:highlight w:val="none"/>
        </w:rPr>
        <w:t>1、本项目为福州市城市古树名木巡查和技术指导服务项目。</w:t>
      </w:r>
    </w:p>
    <w:p>
      <w:pPr>
        <w:pStyle w:val="4"/>
        <w:ind w:firstLine="480" w:firstLineChars="200"/>
        <w:jc w:val="both"/>
        <w:rPr>
          <w:color w:val="auto"/>
          <w:highlight w:val="none"/>
        </w:rPr>
      </w:pPr>
      <w:r>
        <w:rPr>
          <w:rFonts w:ascii="宋体" w:hAnsi="宋体" w:eastAsia="宋体" w:cs="宋体"/>
          <w:color w:val="auto"/>
          <w:sz w:val="24"/>
          <w:highlight w:val="none"/>
        </w:rPr>
        <w:t>2、报价要求:供应商根据作业内容和要求进行的总价报价，总价报价包括但不限于①专家会诊及第三方鉴定费（本项为包干价30000元/年（3年共90000元），所需费用（含税）供应商应自行统筹考虑并统一纳入本次报价，采购人不另行承担相关费用。）、②人员经费、③车辆经费、④一般性虫害防治（不含白蚁防治）。</w:t>
      </w:r>
    </w:p>
    <w:p>
      <w:pPr>
        <w:pStyle w:val="4"/>
        <w:jc w:val="left"/>
        <w:outlineLvl w:val="2"/>
        <w:rPr>
          <w:color w:val="auto"/>
          <w:highlight w:val="none"/>
        </w:rPr>
      </w:pPr>
      <w:r>
        <w:rPr>
          <w:b/>
          <w:color w:val="auto"/>
          <w:sz w:val="28"/>
          <w:highlight w:val="none"/>
        </w:rPr>
        <w:t>二、技术要求</w:t>
      </w:r>
    </w:p>
    <w:p>
      <w:pPr>
        <w:pStyle w:val="4"/>
        <w:ind w:firstLine="480"/>
        <w:jc w:val="left"/>
        <w:rPr>
          <w:color w:val="auto"/>
          <w:highlight w:val="none"/>
        </w:rPr>
      </w:pPr>
      <w:r>
        <w:rPr>
          <w:rFonts w:ascii="宋体" w:hAnsi="宋体" w:eastAsia="宋体" w:cs="宋体"/>
          <w:color w:val="auto"/>
          <w:sz w:val="24"/>
          <w:highlight w:val="none"/>
        </w:rPr>
        <w:t>1、服务范围及内容：本项目古树名木分布福州鼓楼区、台江区、晋安区、仓山区、马尾区；各古树名木分布零散、跨度大，一级古树名木84株、二级古树名木1499株。数量将不定时更新，以采购人提供的最终数量为准。古树名木数量发生变动的，供应商应自行统筹考虑并统一纳入本次响应报价中，采购人不另行承担相关费用。</w:t>
      </w:r>
    </w:p>
    <w:p>
      <w:pPr>
        <w:pStyle w:val="4"/>
        <w:ind w:firstLine="480"/>
        <w:jc w:val="left"/>
        <w:rPr>
          <w:color w:val="auto"/>
          <w:highlight w:val="none"/>
        </w:rPr>
      </w:pPr>
      <w:r>
        <w:rPr>
          <w:rFonts w:ascii="宋体" w:hAnsi="宋体" w:eastAsia="宋体" w:cs="宋体"/>
          <w:color w:val="auto"/>
          <w:sz w:val="24"/>
          <w:highlight w:val="none"/>
        </w:rPr>
        <w:t>2、工作范围</w:t>
      </w:r>
    </w:p>
    <w:p>
      <w:pPr>
        <w:pStyle w:val="4"/>
        <w:ind w:firstLine="480"/>
        <w:jc w:val="left"/>
        <w:rPr>
          <w:color w:val="auto"/>
          <w:highlight w:val="none"/>
        </w:rPr>
      </w:pPr>
      <w:r>
        <w:rPr>
          <w:rFonts w:ascii="宋体" w:hAnsi="宋体" w:eastAsia="宋体" w:cs="宋体"/>
          <w:color w:val="auto"/>
          <w:sz w:val="24"/>
          <w:highlight w:val="none"/>
        </w:rPr>
        <w:t>2.1一级古树名木的日常巡查，每季度至少一次对古树名木生长和管护情况进行检查，并详细记录巡查情况（纸质原始记录）；</w:t>
      </w:r>
    </w:p>
    <w:p>
      <w:pPr>
        <w:pStyle w:val="4"/>
        <w:ind w:firstLine="480"/>
        <w:jc w:val="left"/>
        <w:rPr>
          <w:rFonts w:ascii="宋体" w:hAnsi="宋体" w:eastAsia="宋体" w:cs="宋体"/>
          <w:color w:val="auto"/>
          <w:sz w:val="24"/>
          <w:highlight w:val="none"/>
        </w:rPr>
      </w:pPr>
      <w:r>
        <w:rPr>
          <w:rFonts w:ascii="宋体" w:hAnsi="宋体" w:eastAsia="宋体" w:cs="宋体"/>
          <w:color w:val="auto"/>
          <w:sz w:val="24"/>
          <w:highlight w:val="none"/>
        </w:rPr>
        <w:t>2.2二级古树名木的日常巡查，每半年至少一次对古树名木生长和管护情况进行检查，并详细记录巡查情况（纸质原始记录）；</w:t>
      </w:r>
    </w:p>
    <w:p>
      <w:pPr>
        <w:pStyle w:val="4"/>
        <w:ind w:firstLine="480"/>
        <w:jc w:val="left"/>
        <w:rPr>
          <w:color w:val="auto"/>
          <w:highlight w:val="none"/>
        </w:rPr>
      </w:pPr>
      <w:r>
        <w:rPr>
          <w:rFonts w:ascii="宋体" w:hAnsi="宋体" w:eastAsia="宋体" w:cs="宋体"/>
          <w:color w:val="auto"/>
          <w:sz w:val="24"/>
          <w:highlight w:val="none"/>
        </w:rPr>
        <w:t>2.3对建设工地、拆迁工地内和涉及古树名木保护的进行每月一次的重点巡查；（纸质原始记录）</w:t>
      </w:r>
    </w:p>
    <w:p>
      <w:pPr>
        <w:pStyle w:val="4"/>
        <w:ind w:firstLine="480"/>
        <w:jc w:val="left"/>
        <w:rPr>
          <w:color w:val="auto"/>
          <w:highlight w:val="none"/>
        </w:rPr>
      </w:pPr>
      <w:r>
        <w:rPr>
          <w:rFonts w:ascii="宋体" w:hAnsi="宋体" w:eastAsia="宋体" w:cs="宋体"/>
          <w:color w:val="auto"/>
          <w:sz w:val="24"/>
          <w:highlight w:val="none"/>
        </w:rPr>
        <w:t>2.4按主管部门和管理单位要求进行古树名木检查；</w:t>
      </w:r>
    </w:p>
    <w:p>
      <w:pPr>
        <w:pStyle w:val="4"/>
        <w:ind w:firstLine="480"/>
        <w:jc w:val="left"/>
        <w:rPr>
          <w:color w:val="auto"/>
          <w:highlight w:val="none"/>
        </w:rPr>
      </w:pPr>
      <w:r>
        <w:rPr>
          <w:rFonts w:ascii="宋体" w:hAnsi="宋体" w:eastAsia="宋体" w:cs="宋体"/>
          <w:color w:val="auto"/>
          <w:sz w:val="24"/>
          <w:highlight w:val="none"/>
        </w:rPr>
        <w:t>2.5古树铭牌的检查和维护；</w:t>
      </w:r>
    </w:p>
    <w:p>
      <w:pPr>
        <w:pStyle w:val="4"/>
        <w:ind w:firstLine="480"/>
        <w:jc w:val="left"/>
        <w:rPr>
          <w:rFonts w:ascii="宋体" w:hAnsi="宋体" w:eastAsia="宋体" w:cs="宋体"/>
          <w:color w:val="auto"/>
          <w:sz w:val="24"/>
          <w:highlight w:val="none"/>
        </w:rPr>
      </w:pPr>
      <w:r>
        <w:rPr>
          <w:rFonts w:ascii="宋体" w:hAnsi="宋体" w:eastAsia="宋体" w:cs="宋体"/>
          <w:color w:val="auto"/>
          <w:sz w:val="24"/>
          <w:highlight w:val="none"/>
        </w:rPr>
        <w:t>2.6</w:t>
      </w:r>
      <w:r>
        <w:rPr>
          <w:rFonts w:hint="eastAsia" w:ascii="宋体" w:hAnsi="宋体" w:eastAsia="宋体" w:cs="宋体"/>
          <w:color w:val="auto"/>
          <w:sz w:val="24"/>
          <w:highlight w:val="none"/>
          <w:lang w:val="en-US" w:eastAsia="zh-CN"/>
        </w:rPr>
        <w:t>按采购人要求的时限内</w:t>
      </w:r>
      <w:r>
        <w:rPr>
          <w:rFonts w:ascii="宋体" w:hAnsi="宋体" w:eastAsia="宋体" w:cs="宋体"/>
          <w:color w:val="auto"/>
          <w:sz w:val="24"/>
          <w:highlight w:val="none"/>
        </w:rPr>
        <w:t>在指定的信息化系统上更新古树名木资料；</w:t>
      </w:r>
    </w:p>
    <w:p>
      <w:pPr>
        <w:pStyle w:val="4"/>
        <w:ind w:firstLine="480"/>
        <w:jc w:val="left"/>
        <w:rPr>
          <w:color w:val="auto"/>
          <w:highlight w:val="none"/>
        </w:rPr>
      </w:pPr>
      <w:r>
        <w:rPr>
          <w:rFonts w:ascii="宋体" w:hAnsi="宋体" w:eastAsia="宋体" w:cs="宋体"/>
          <w:color w:val="auto"/>
          <w:sz w:val="24"/>
          <w:highlight w:val="none"/>
        </w:rPr>
        <w:t>2.7日常的古树名木资料整理，按时提交古树名木巡查的季度小结和年度工作总结；</w:t>
      </w:r>
    </w:p>
    <w:p>
      <w:pPr>
        <w:pStyle w:val="4"/>
        <w:ind w:firstLine="480"/>
        <w:jc w:val="left"/>
        <w:rPr>
          <w:color w:val="auto"/>
          <w:highlight w:val="none"/>
        </w:rPr>
      </w:pPr>
      <w:r>
        <w:rPr>
          <w:rFonts w:ascii="宋体" w:hAnsi="宋体" w:eastAsia="宋体" w:cs="宋体"/>
          <w:color w:val="auto"/>
          <w:sz w:val="24"/>
          <w:highlight w:val="none"/>
        </w:rPr>
        <w:t>2.8日常的古树名木档案管理，按时提交古树名木巡查的季度小结和年度工作总结；</w:t>
      </w:r>
    </w:p>
    <w:p>
      <w:pPr>
        <w:pStyle w:val="4"/>
        <w:ind w:firstLine="480"/>
        <w:jc w:val="left"/>
        <w:rPr>
          <w:rFonts w:ascii="宋体" w:hAnsi="宋体" w:eastAsia="宋体" w:cs="宋体"/>
          <w:color w:val="auto"/>
          <w:sz w:val="24"/>
          <w:highlight w:val="none"/>
        </w:rPr>
      </w:pPr>
      <w:r>
        <w:rPr>
          <w:rFonts w:ascii="宋体" w:hAnsi="宋体" w:eastAsia="宋体" w:cs="宋体"/>
          <w:color w:val="auto"/>
          <w:sz w:val="24"/>
          <w:highlight w:val="none"/>
        </w:rPr>
        <w:t>2.9编制古树名木巡查年度工作计划；</w:t>
      </w:r>
    </w:p>
    <w:p>
      <w:pPr>
        <w:pStyle w:val="4"/>
        <w:ind w:firstLine="480"/>
        <w:jc w:val="left"/>
        <w:rPr>
          <w:rFonts w:ascii="宋体" w:hAnsi="宋体" w:eastAsia="宋体" w:cs="宋体"/>
          <w:color w:val="auto"/>
          <w:sz w:val="24"/>
          <w:highlight w:val="none"/>
        </w:rPr>
      </w:pPr>
      <w:r>
        <w:rPr>
          <w:rFonts w:ascii="宋体" w:hAnsi="宋体" w:eastAsia="宋体" w:cs="宋体"/>
          <w:color w:val="auto"/>
          <w:sz w:val="24"/>
          <w:highlight w:val="none"/>
        </w:rPr>
        <w:t>2.10配合古树名木保护执法、涉及古树名木的数字城管、12345办理等，协助现场查看并报告；</w:t>
      </w:r>
    </w:p>
    <w:p>
      <w:pPr>
        <w:pStyle w:val="4"/>
        <w:ind w:firstLine="480"/>
        <w:jc w:val="left"/>
        <w:rPr>
          <w:rFonts w:ascii="宋体" w:hAnsi="宋体" w:eastAsia="宋体" w:cs="宋体"/>
          <w:color w:val="auto"/>
          <w:sz w:val="24"/>
          <w:highlight w:val="none"/>
        </w:rPr>
      </w:pPr>
      <w:r>
        <w:rPr>
          <w:rFonts w:ascii="宋体" w:hAnsi="宋体" w:eastAsia="宋体" w:cs="宋体"/>
          <w:color w:val="auto"/>
          <w:sz w:val="24"/>
          <w:highlight w:val="none"/>
        </w:rPr>
        <w:t>2.11古树名木病虫害的发现上报，并按照采购人要求进行每年不少于100株的涂白作业。</w:t>
      </w:r>
    </w:p>
    <w:p>
      <w:pPr>
        <w:pStyle w:val="4"/>
        <w:ind w:firstLine="480"/>
        <w:jc w:val="left"/>
        <w:rPr>
          <w:color w:val="auto"/>
          <w:highlight w:val="none"/>
        </w:rPr>
      </w:pPr>
      <w:r>
        <w:rPr>
          <w:rFonts w:ascii="宋体" w:hAnsi="宋体" w:eastAsia="宋体" w:cs="宋体"/>
          <w:color w:val="auto"/>
          <w:sz w:val="24"/>
          <w:highlight w:val="none"/>
        </w:rPr>
        <w:t>2.12按采购人要求对现有及疑似古树名木组织树龄鉴定、建立档案、疑难问题专家指导、挂牌、第三方鉴定检测等事项。</w:t>
      </w:r>
    </w:p>
    <w:p>
      <w:pPr>
        <w:pStyle w:val="4"/>
        <w:ind w:firstLine="480"/>
        <w:jc w:val="left"/>
        <w:rPr>
          <w:rFonts w:ascii="宋体" w:hAnsi="宋体" w:eastAsia="宋体" w:cs="宋体"/>
          <w:color w:val="auto"/>
          <w:sz w:val="24"/>
          <w:highlight w:val="none"/>
        </w:rPr>
      </w:pPr>
      <w:r>
        <w:rPr>
          <w:rFonts w:ascii="宋体" w:hAnsi="宋体" w:eastAsia="宋体" w:cs="宋体"/>
          <w:color w:val="auto"/>
          <w:sz w:val="24"/>
          <w:highlight w:val="none"/>
        </w:rPr>
        <w:t>2.13指导和监督、复核管护责任单位做好城市古树名木管护工作。</w:t>
      </w:r>
    </w:p>
    <w:p>
      <w:pPr>
        <w:pStyle w:val="4"/>
        <w:ind w:firstLine="480"/>
        <w:jc w:val="left"/>
        <w:rPr>
          <w:rFonts w:ascii="宋体" w:hAnsi="宋体" w:eastAsia="宋体" w:cs="宋体"/>
          <w:color w:val="auto"/>
          <w:sz w:val="24"/>
          <w:highlight w:val="none"/>
        </w:rPr>
      </w:pPr>
      <w:r>
        <w:rPr>
          <w:rFonts w:ascii="宋体" w:hAnsi="宋体" w:eastAsia="宋体" w:cs="宋体"/>
          <w:color w:val="auto"/>
          <w:sz w:val="24"/>
          <w:highlight w:val="none"/>
        </w:rPr>
        <w:t>2.14成交供应商须配合采购人做好古树名木相关工作。</w:t>
      </w:r>
    </w:p>
    <w:p>
      <w:pPr>
        <w:pStyle w:val="4"/>
        <w:ind w:firstLine="480"/>
        <w:jc w:val="left"/>
        <w:rPr>
          <w:color w:val="auto"/>
          <w:highlight w:val="none"/>
        </w:rPr>
      </w:pPr>
      <w:r>
        <w:rPr>
          <w:rFonts w:ascii="宋体" w:hAnsi="宋体" w:eastAsia="宋体" w:cs="宋体"/>
          <w:b/>
          <w:color w:val="auto"/>
          <w:sz w:val="24"/>
          <w:highlight w:val="none"/>
        </w:rPr>
        <w:t>2.15</w:t>
      </w:r>
      <w:r>
        <w:rPr>
          <w:rFonts w:ascii="宋体" w:hAnsi="宋体" w:eastAsia="宋体" w:cs="宋体"/>
          <w:color w:val="auto"/>
          <w:sz w:val="24"/>
          <w:highlight w:val="none"/>
        </w:rPr>
        <w:t>服务期内发生的一切事故，如治安、交通事故和劳资纠纷等，均由成交供应商承担。</w:t>
      </w:r>
    </w:p>
    <w:p>
      <w:pPr>
        <w:pStyle w:val="4"/>
        <w:ind w:firstLine="480"/>
        <w:jc w:val="left"/>
        <w:rPr>
          <w:color w:val="auto"/>
          <w:highlight w:val="none"/>
        </w:rPr>
      </w:pPr>
      <w:r>
        <w:rPr>
          <w:rFonts w:ascii="宋体" w:hAnsi="宋体" w:eastAsia="宋体" w:cs="宋体"/>
          <w:b/>
          <w:color w:val="auto"/>
          <w:sz w:val="24"/>
          <w:highlight w:val="none"/>
        </w:rPr>
        <w:t>3.主要工作职责</w:t>
      </w:r>
    </w:p>
    <w:p>
      <w:pPr>
        <w:pStyle w:val="4"/>
        <w:ind w:firstLine="480"/>
        <w:jc w:val="left"/>
        <w:rPr>
          <w:color w:val="auto"/>
          <w:highlight w:val="none"/>
        </w:rPr>
      </w:pPr>
      <w:r>
        <w:rPr>
          <w:rFonts w:ascii="宋体" w:hAnsi="宋体" w:eastAsia="宋体" w:cs="宋体"/>
          <w:color w:val="auto"/>
          <w:sz w:val="24"/>
          <w:highlight w:val="none"/>
        </w:rPr>
        <w:t>现场调查：组织专业技术人员成立古树名木巡查工作小组，对古树名木进行健康巡查，巡查重点包括：古树名木的基本信息、立地条件、保护措施情况、生长状况、土壤状况、叶片状况等。调查过程中发现具有明显倒伏隐患、树干空洞严重的古树名木，结合调查结果进行健康状况和安全性评估，及时编写并出具相应调查报告。</w:t>
      </w:r>
    </w:p>
    <w:p>
      <w:pPr>
        <w:pStyle w:val="4"/>
        <w:ind w:firstLine="480"/>
        <w:jc w:val="left"/>
        <w:rPr>
          <w:color w:val="auto"/>
          <w:highlight w:val="none"/>
        </w:rPr>
      </w:pPr>
      <w:r>
        <w:rPr>
          <w:rFonts w:ascii="宋体" w:hAnsi="宋体" w:eastAsia="宋体" w:cs="宋体"/>
          <w:b/>
          <w:color w:val="auto"/>
          <w:sz w:val="24"/>
          <w:highlight w:val="none"/>
        </w:rPr>
        <w:t>4.团队人员配备</w:t>
      </w:r>
    </w:p>
    <w:p>
      <w:pPr>
        <w:pStyle w:val="4"/>
        <w:ind w:firstLine="480"/>
        <w:jc w:val="left"/>
        <w:rPr>
          <w:color w:val="auto"/>
          <w:highlight w:val="none"/>
        </w:rPr>
      </w:pPr>
      <w:r>
        <w:rPr>
          <w:rFonts w:ascii="宋体" w:hAnsi="宋体" w:eastAsia="宋体" w:cs="宋体"/>
          <w:color w:val="auto"/>
          <w:sz w:val="24"/>
          <w:highlight w:val="none"/>
        </w:rPr>
        <w:t>项目负责人1人，技术负责人1人，巡查人员4人（具有本科及以上学历的园林专业、植保专业至少各1名），专职联络员1人。人员必须按规定配备齐全，如需出现人员更换，应提前报备。注：须提供拟投入团队人员列表、毕业证书复印件及在响应截止时间前六个月内任意一个月（不含响应截止时间当月）供应商为其缴纳的社保证明材料并加盖公章。</w:t>
      </w:r>
    </w:p>
    <w:p>
      <w:pPr>
        <w:pStyle w:val="4"/>
        <w:ind w:firstLine="480"/>
        <w:jc w:val="left"/>
        <w:rPr>
          <w:color w:val="auto"/>
          <w:highlight w:val="none"/>
        </w:rPr>
      </w:pPr>
      <w:r>
        <w:rPr>
          <w:rFonts w:ascii="宋体" w:hAnsi="宋体" w:eastAsia="宋体" w:cs="宋体"/>
          <w:b/>
          <w:color w:val="auto"/>
          <w:sz w:val="24"/>
          <w:highlight w:val="none"/>
        </w:rPr>
        <w:t>5、日常巡查机械设备配置要求</w:t>
      </w:r>
    </w:p>
    <w:tbl>
      <w:tblPr>
        <w:tblStyle w:val="3"/>
        <w:tblW w:w="830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2265"/>
        <w:gridCol w:w="1958"/>
        <w:gridCol w:w="327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序号</w:t>
            </w:r>
          </w:p>
        </w:tc>
        <w:tc>
          <w:tcPr>
            <w:tcW w:w="22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名称</w:t>
            </w:r>
          </w:p>
        </w:tc>
        <w:tc>
          <w:tcPr>
            <w:tcW w:w="19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数量</w:t>
            </w:r>
          </w:p>
        </w:tc>
        <w:tc>
          <w:tcPr>
            <w:tcW w:w="32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1</w:t>
            </w:r>
          </w:p>
        </w:tc>
        <w:tc>
          <w:tcPr>
            <w:tcW w:w="22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巡查机动车辆</w:t>
            </w:r>
          </w:p>
        </w:tc>
        <w:tc>
          <w:tcPr>
            <w:tcW w:w="195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1辆</w:t>
            </w:r>
          </w:p>
        </w:tc>
        <w:tc>
          <w:tcPr>
            <w:tcW w:w="32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自有设备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2</w:t>
            </w:r>
          </w:p>
        </w:tc>
        <w:tc>
          <w:tcPr>
            <w:tcW w:w="22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电动自行车</w:t>
            </w:r>
          </w:p>
        </w:tc>
        <w:tc>
          <w:tcPr>
            <w:tcW w:w="195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4辆</w:t>
            </w:r>
          </w:p>
        </w:tc>
        <w:tc>
          <w:tcPr>
            <w:tcW w:w="32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3</w:t>
            </w:r>
          </w:p>
        </w:tc>
        <w:tc>
          <w:tcPr>
            <w:tcW w:w="22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梯子</w:t>
            </w:r>
          </w:p>
        </w:tc>
        <w:tc>
          <w:tcPr>
            <w:tcW w:w="195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1台</w:t>
            </w:r>
          </w:p>
        </w:tc>
        <w:tc>
          <w:tcPr>
            <w:tcW w:w="32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4</w:t>
            </w:r>
          </w:p>
        </w:tc>
        <w:tc>
          <w:tcPr>
            <w:tcW w:w="22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望远镜</w:t>
            </w:r>
          </w:p>
        </w:tc>
        <w:tc>
          <w:tcPr>
            <w:tcW w:w="195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2台</w:t>
            </w:r>
          </w:p>
        </w:tc>
        <w:tc>
          <w:tcPr>
            <w:tcW w:w="327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p>
        </w:tc>
      </w:tr>
    </w:tbl>
    <w:p>
      <w:pPr>
        <w:pStyle w:val="4"/>
        <w:jc w:val="left"/>
        <w:outlineLvl w:val="2"/>
        <w:rPr>
          <w:color w:val="auto"/>
          <w:highlight w:val="none"/>
        </w:rPr>
      </w:pPr>
      <w:r>
        <w:rPr>
          <w:b/>
          <w:color w:val="auto"/>
          <w:sz w:val="28"/>
          <w:highlight w:val="none"/>
        </w:rPr>
        <w:t>三、商务条件</w:t>
      </w:r>
    </w:p>
    <w:p>
      <w:pPr>
        <w:pStyle w:val="4"/>
        <w:jc w:val="left"/>
        <w:rPr>
          <w:color w:val="auto"/>
          <w:sz w:val="24"/>
          <w:szCs w:val="24"/>
          <w:highlight w:val="none"/>
        </w:rPr>
      </w:pPr>
      <w:r>
        <w:rPr>
          <w:color w:val="auto"/>
          <w:sz w:val="24"/>
          <w:szCs w:val="24"/>
          <w:highlight w:val="none"/>
        </w:rPr>
        <w:t>采购包1：</w:t>
      </w:r>
    </w:p>
    <w:tbl>
      <w:tblPr>
        <w:tblStyle w:val="3"/>
        <w:tblW w:w="909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34"/>
        <w:gridCol w:w="1770"/>
        <w:gridCol w:w="65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04" w:hRule="atLeast"/>
        </w:trPr>
        <w:tc>
          <w:tcPr>
            <w:tcW w:w="734" w:type="dxa"/>
          </w:tcPr>
          <w:p>
            <w:pPr>
              <w:pStyle w:val="4"/>
              <w:jc w:val="center"/>
              <w:rPr>
                <w:color w:val="auto"/>
                <w:highlight w:val="none"/>
              </w:rPr>
            </w:pPr>
            <w:r>
              <w:rPr>
                <w:color w:val="auto"/>
                <w:highlight w:val="none"/>
              </w:rPr>
              <w:t>序号</w:t>
            </w:r>
          </w:p>
        </w:tc>
        <w:tc>
          <w:tcPr>
            <w:tcW w:w="1770" w:type="dxa"/>
          </w:tcPr>
          <w:p>
            <w:pPr>
              <w:pStyle w:val="4"/>
              <w:jc w:val="left"/>
              <w:rPr>
                <w:color w:val="auto"/>
                <w:highlight w:val="none"/>
              </w:rPr>
            </w:pPr>
            <w:r>
              <w:rPr>
                <w:color w:val="auto"/>
                <w:highlight w:val="none"/>
              </w:rPr>
              <w:t>类型</w:t>
            </w:r>
          </w:p>
        </w:tc>
        <w:tc>
          <w:tcPr>
            <w:tcW w:w="6586" w:type="dxa"/>
          </w:tcPr>
          <w:p>
            <w:pPr>
              <w:pStyle w:val="4"/>
              <w:jc w:val="left"/>
              <w:rPr>
                <w:color w:val="auto"/>
                <w:highlight w:val="none"/>
              </w:rPr>
            </w:pPr>
            <w:r>
              <w:rPr>
                <w:color w:val="auto"/>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04" w:hRule="atLeast"/>
        </w:trPr>
        <w:tc>
          <w:tcPr>
            <w:tcW w:w="734" w:type="dxa"/>
          </w:tcPr>
          <w:p>
            <w:pPr>
              <w:pStyle w:val="4"/>
              <w:jc w:val="center"/>
              <w:rPr>
                <w:color w:val="auto"/>
                <w:highlight w:val="none"/>
              </w:rPr>
            </w:pPr>
            <w:r>
              <w:rPr>
                <w:color w:val="auto"/>
                <w:highlight w:val="none"/>
              </w:rPr>
              <w:t>1</w:t>
            </w:r>
          </w:p>
        </w:tc>
        <w:tc>
          <w:tcPr>
            <w:tcW w:w="1770" w:type="dxa"/>
          </w:tcPr>
          <w:p>
            <w:pPr>
              <w:pStyle w:val="4"/>
              <w:jc w:val="left"/>
              <w:rPr>
                <w:color w:val="auto"/>
                <w:highlight w:val="none"/>
              </w:rPr>
            </w:pPr>
            <w:r>
              <w:rPr>
                <w:color w:val="auto"/>
                <w:highlight w:val="none"/>
              </w:rPr>
              <w:t>交货时间</w:t>
            </w:r>
          </w:p>
        </w:tc>
        <w:tc>
          <w:tcPr>
            <w:tcW w:w="6586" w:type="dxa"/>
          </w:tcPr>
          <w:p>
            <w:pPr>
              <w:pStyle w:val="4"/>
              <w:jc w:val="left"/>
              <w:rPr>
                <w:color w:val="auto"/>
                <w:highlight w:val="none"/>
              </w:rPr>
            </w:pPr>
            <w:r>
              <w:rPr>
                <w:color w:val="auto"/>
                <w:highlight w:val="none"/>
              </w:rPr>
              <w:t>自合同签订之日起1095日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04" w:hRule="atLeast"/>
        </w:trPr>
        <w:tc>
          <w:tcPr>
            <w:tcW w:w="734" w:type="dxa"/>
          </w:tcPr>
          <w:p>
            <w:pPr>
              <w:pStyle w:val="4"/>
              <w:jc w:val="center"/>
              <w:rPr>
                <w:color w:val="auto"/>
                <w:highlight w:val="none"/>
              </w:rPr>
            </w:pPr>
            <w:r>
              <w:rPr>
                <w:color w:val="auto"/>
                <w:highlight w:val="none"/>
              </w:rPr>
              <w:t>2</w:t>
            </w:r>
          </w:p>
        </w:tc>
        <w:tc>
          <w:tcPr>
            <w:tcW w:w="1770" w:type="dxa"/>
          </w:tcPr>
          <w:p>
            <w:pPr>
              <w:pStyle w:val="4"/>
              <w:jc w:val="left"/>
              <w:rPr>
                <w:color w:val="auto"/>
                <w:highlight w:val="none"/>
              </w:rPr>
            </w:pPr>
            <w:r>
              <w:rPr>
                <w:color w:val="auto"/>
                <w:highlight w:val="none"/>
              </w:rPr>
              <w:t>交货地点</w:t>
            </w:r>
          </w:p>
        </w:tc>
        <w:tc>
          <w:tcPr>
            <w:tcW w:w="6586" w:type="dxa"/>
          </w:tcPr>
          <w:p>
            <w:pPr>
              <w:pStyle w:val="4"/>
              <w:jc w:val="left"/>
              <w:rPr>
                <w:color w:val="auto"/>
                <w:highlight w:val="none"/>
              </w:rPr>
            </w:pPr>
            <w:r>
              <w:rPr>
                <w:color w:val="auto"/>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04" w:hRule="atLeast"/>
        </w:trPr>
        <w:tc>
          <w:tcPr>
            <w:tcW w:w="734" w:type="dxa"/>
          </w:tcPr>
          <w:p>
            <w:pPr>
              <w:pStyle w:val="4"/>
              <w:jc w:val="center"/>
              <w:rPr>
                <w:color w:val="auto"/>
                <w:highlight w:val="none"/>
              </w:rPr>
            </w:pPr>
            <w:r>
              <w:rPr>
                <w:color w:val="auto"/>
                <w:highlight w:val="none"/>
              </w:rPr>
              <w:t>3</w:t>
            </w:r>
          </w:p>
        </w:tc>
        <w:tc>
          <w:tcPr>
            <w:tcW w:w="1770" w:type="dxa"/>
          </w:tcPr>
          <w:p>
            <w:pPr>
              <w:pStyle w:val="4"/>
              <w:jc w:val="left"/>
              <w:rPr>
                <w:color w:val="auto"/>
                <w:highlight w:val="none"/>
              </w:rPr>
            </w:pPr>
            <w:r>
              <w:rPr>
                <w:color w:val="auto"/>
                <w:highlight w:val="none"/>
              </w:rPr>
              <w:t>交货条件</w:t>
            </w:r>
          </w:p>
        </w:tc>
        <w:tc>
          <w:tcPr>
            <w:tcW w:w="6586" w:type="dxa"/>
          </w:tcPr>
          <w:p>
            <w:pPr>
              <w:pStyle w:val="4"/>
              <w:jc w:val="left"/>
              <w:rPr>
                <w:color w:val="auto"/>
                <w:highlight w:val="none"/>
              </w:rPr>
            </w:pPr>
            <w:r>
              <w:rPr>
                <w:color w:val="auto"/>
                <w:highlight w:val="none"/>
              </w:rPr>
              <w:t>根据“考核管理检查办法”进行验收并达到合格。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602" w:hRule="atLeast"/>
        </w:trPr>
        <w:tc>
          <w:tcPr>
            <w:tcW w:w="734" w:type="dxa"/>
          </w:tcPr>
          <w:p>
            <w:pPr>
              <w:pStyle w:val="4"/>
              <w:jc w:val="center"/>
              <w:rPr>
                <w:color w:val="auto"/>
                <w:highlight w:val="none"/>
              </w:rPr>
            </w:pPr>
            <w:r>
              <w:rPr>
                <w:color w:val="auto"/>
                <w:highlight w:val="none"/>
              </w:rPr>
              <w:t>4</w:t>
            </w:r>
          </w:p>
        </w:tc>
        <w:tc>
          <w:tcPr>
            <w:tcW w:w="1770" w:type="dxa"/>
          </w:tcPr>
          <w:p>
            <w:pPr>
              <w:pStyle w:val="4"/>
              <w:jc w:val="left"/>
              <w:rPr>
                <w:color w:val="auto"/>
                <w:highlight w:val="none"/>
              </w:rPr>
            </w:pPr>
            <w:r>
              <w:rPr>
                <w:color w:val="auto"/>
                <w:highlight w:val="none"/>
              </w:rPr>
              <w:t>是否邀请投标人验收</w:t>
            </w:r>
          </w:p>
        </w:tc>
        <w:tc>
          <w:tcPr>
            <w:tcW w:w="6586" w:type="dxa"/>
          </w:tcPr>
          <w:p>
            <w:pPr>
              <w:pStyle w:val="4"/>
              <w:jc w:val="left"/>
              <w:rPr>
                <w:color w:val="auto"/>
                <w:highlight w:val="none"/>
              </w:rPr>
            </w:pPr>
            <w:r>
              <w:rPr>
                <w:color w:val="auto"/>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304" w:hRule="atLeast"/>
        </w:trPr>
        <w:tc>
          <w:tcPr>
            <w:tcW w:w="734" w:type="dxa"/>
          </w:tcPr>
          <w:p>
            <w:pPr>
              <w:pStyle w:val="4"/>
              <w:jc w:val="center"/>
              <w:rPr>
                <w:color w:val="auto"/>
                <w:highlight w:val="none"/>
              </w:rPr>
            </w:pPr>
            <w:r>
              <w:rPr>
                <w:color w:val="auto"/>
                <w:highlight w:val="none"/>
              </w:rPr>
              <w:t>5</w:t>
            </w:r>
          </w:p>
        </w:tc>
        <w:tc>
          <w:tcPr>
            <w:tcW w:w="1770" w:type="dxa"/>
          </w:tcPr>
          <w:p>
            <w:pPr>
              <w:pStyle w:val="4"/>
              <w:jc w:val="left"/>
              <w:rPr>
                <w:color w:val="auto"/>
                <w:highlight w:val="none"/>
              </w:rPr>
            </w:pPr>
            <w:r>
              <w:rPr>
                <w:color w:val="auto"/>
                <w:highlight w:val="none"/>
              </w:rPr>
              <w:t>履约验收方式</w:t>
            </w:r>
          </w:p>
        </w:tc>
        <w:tc>
          <w:tcPr>
            <w:tcW w:w="6586" w:type="dxa"/>
          </w:tcPr>
          <w:p>
            <w:pPr>
              <w:pStyle w:val="4"/>
              <w:jc w:val="left"/>
              <w:rPr>
                <w:color w:val="auto"/>
                <w:highlight w:val="none"/>
              </w:rPr>
            </w:pPr>
            <w:r>
              <w:rPr>
                <w:color w:val="auto"/>
                <w:highlight w:val="none"/>
              </w:rPr>
              <w:t>1、期次1，说明：采购人每季度考核一次，每年验收一次。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2076" w:hRule="atLeast"/>
        </w:trPr>
        <w:tc>
          <w:tcPr>
            <w:tcW w:w="734" w:type="dxa"/>
          </w:tcPr>
          <w:p>
            <w:pPr>
              <w:pStyle w:val="4"/>
              <w:jc w:val="center"/>
              <w:rPr>
                <w:color w:val="auto"/>
                <w:highlight w:val="none"/>
              </w:rPr>
            </w:pPr>
            <w:r>
              <w:rPr>
                <w:color w:val="auto"/>
                <w:highlight w:val="none"/>
              </w:rPr>
              <w:t>6</w:t>
            </w:r>
          </w:p>
        </w:tc>
        <w:tc>
          <w:tcPr>
            <w:tcW w:w="1770" w:type="dxa"/>
          </w:tcPr>
          <w:p>
            <w:pPr>
              <w:pStyle w:val="4"/>
              <w:jc w:val="left"/>
              <w:rPr>
                <w:color w:val="auto"/>
                <w:highlight w:val="none"/>
              </w:rPr>
            </w:pPr>
            <w:r>
              <w:rPr>
                <w:color w:val="auto"/>
                <w:highlight w:val="none"/>
              </w:rPr>
              <w:t>合同支付方式</w:t>
            </w:r>
          </w:p>
        </w:tc>
        <w:tc>
          <w:tcPr>
            <w:tcW w:w="6586" w:type="dxa"/>
          </w:tcPr>
          <w:p>
            <w:pPr>
              <w:pStyle w:val="4"/>
              <w:jc w:val="left"/>
              <w:rPr>
                <w:color w:val="auto"/>
                <w:highlight w:val="none"/>
              </w:rPr>
            </w:pPr>
            <w:r>
              <w:rPr>
                <w:color w:val="auto"/>
                <w:highlight w:val="none"/>
              </w:rPr>
              <w:t>1、成交供应商完成第一季度和第二季度古树名木巡查和技术指导工作，经采购人考评合格，采购人按本期完成合格工作量价款报市财政局审批，待财政资金批复到位后支付，成交供应商出具正式发票，达到付款条件起</w:t>
            </w:r>
            <w:r>
              <w:rPr>
                <w:rFonts w:hint="eastAsia"/>
                <w:color w:val="auto"/>
                <w:highlight w:val="none"/>
                <w:lang w:val="en-US" w:eastAsia="zh-CN"/>
              </w:rPr>
              <w:t>3</w:t>
            </w:r>
            <w:r>
              <w:rPr>
                <w:color w:val="auto"/>
                <w:highlight w:val="none"/>
              </w:rPr>
              <w:t>0日内，支付合同总金额的16.00%</w:t>
            </w:r>
          </w:p>
          <w:p>
            <w:pPr>
              <w:pStyle w:val="4"/>
              <w:jc w:val="left"/>
              <w:rPr>
                <w:color w:val="auto"/>
                <w:highlight w:val="none"/>
              </w:rPr>
            </w:pPr>
            <w:r>
              <w:rPr>
                <w:color w:val="auto"/>
                <w:highlight w:val="none"/>
              </w:rPr>
              <w:t>2、成交供应商完成第三季度和第四季度古树名木巡查和技术指导工作，经采购人考评合格，采购人按本期完成合格工作量价款报市财政局审批，待财政资金批复到位后支付，成交供应商出具正式发票，达到付款条件起</w:t>
            </w:r>
            <w:r>
              <w:rPr>
                <w:rFonts w:hint="eastAsia"/>
                <w:color w:val="auto"/>
                <w:highlight w:val="none"/>
                <w:lang w:val="en-US" w:eastAsia="zh-CN"/>
              </w:rPr>
              <w:t>3</w:t>
            </w:r>
            <w:r>
              <w:rPr>
                <w:color w:val="auto"/>
                <w:highlight w:val="none"/>
              </w:rPr>
              <w:t>0日内，支付合同总金额的1</w:t>
            </w:r>
            <w:r>
              <w:rPr>
                <w:rFonts w:hint="eastAsia"/>
                <w:color w:val="auto"/>
                <w:highlight w:val="none"/>
                <w:lang w:val="en-US" w:eastAsia="zh-CN"/>
              </w:rPr>
              <w:t>6</w:t>
            </w:r>
            <w:r>
              <w:rPr>
                <w:color w:val="auto"/>
                <w:highlight w:val="none"/>
              </w:rPr>
              <w:t>.00%</w:t>
            </w:r>
          </w:p>
          <w:p>
            <w:pPr>
              <w:pStyle w:val="4"/>
              <w:jc w:val="left"/>
              <w:rPr>
                <w:color w:val="auto"/>
                <w:highlight w:val="none"/>
              </w:rPr>
            </w:pPr>
            <w:r>
              <w:rPr>
                <w:color w:val="auto"/>
                <w:highlight w:val="none"/>
              </w:rPr>
              <w:t>3、成交供应商完成第五季度和第六季度古树名木巡查和技术指导工作，经采购人考评合格，采购人按本期完成合格工作量价款报市财政局审批，待财政资金批复到位后支付，成交</w:t>
            </w:r>
            <w:bookmarkStart w:id="0" w:name="_GoBack"/>
            <w:bookmarkEnd w:id="0"/>
            <w:r>
              <w:rPr>
                <w:color w:val="auto"/>
                <w:highlight w:val="none"/>
              </w:rPr>
              <w:t>供应商出具正式发票，达到付款条件起</w:t>
            </w:r>
            <w:r>
              <w:rPr>
                <w:rFonts w:hint="eastAsia"/>
                <w:color w:val="auto"/>
                <w:highlight w:val="none"/>
                <w:lang w:val="en-US" w:eastAsia="zh-CN"/>
              </w:rPr>
              <w:t>3</w:t>
            </w:r>
            <w:r>
              <w:rPr>
                <w:color w:val="auto"/>
                <w:highlight w:val="none"/>
              </w:rPr>
              <w:t>0日内，支付合同总金额的16.00%</w:t>
            </w:r>
          </w:p>
          <w:p>
            <w:pPr>
              <w:pStyle w:val="4"/>
              <w:jc w:val="left"/>
              <w:rPr>
                <w:color w:val="auto"/>
                <w:highlight w:val="none"/>
              </w:rPr>
            </w:pPr>
            <w:r>
              <w:rPr>
                <w:color w:val="auto"/>
                <w:highlight w:val="none"/>
              </w:rPr>
              <w:t>4、成交供应商完成第七季度和第八季度古树名木巡查和技术指导工作，经采购人考评合格，采购人按本期完成合格工作量价款报市财政局审批，待财政资金批复到位后支付，成交供应商出具正式发票，达到付款条件起</w:t>
            </w:r>
            <w:r>
              <w:rPr>
                <w:rFonts w:hint="eastAsia"/>
                <w:color w:val="auto"/>
                <w:highlight w:val="none"/>
                <w:lang w:val="en-US" w:eastAsia="zh-CN"/>
              </w:rPr>
              <w:t>3</w:t>
            </w:r>
            <w:r>
              <w:rPr>
                <w:color w:val="auto"/>
                <w:highlight w:val="none"/>
              </w:rPr>
              <w:t>0日内，支付合同总金额的1</w:t>
            </w:r>
            <w:r>
              <w:rPr>
                <w:rFonts w:hint="eastAsia"/>
                <w:color w:val="auto"/>
                <w:highlight w:val="none"/>
                <w:lang w:val="en-US" w:eastAsia="zh-CN"/>
              </w:rPr>
              <w:t>6</w:t>
            </w:r>
            <w:r>
              <w:rPr>
                <w:color w:val="auto"/>
                <w:highlight w:val="none"/>
              </w:rPr>
              <w:t>.00%</w:t>
            </w:r>
          </w:p>
          <w:p>
            <w:pPr>
              <w:pStyle w:val="4"/>
              <w:jc w:val="left"/>
              <w:rPr>
                <w:color w:val="auto"/>
                <w:highlight w:val="none"/>
              </w:rPr>
            </w:pPr>
            <w:r>
              <w:rPr>
                <w:color w:val="auto"/>
                <w:highlight w:val="none"/>
              </w:rPr>
              <w:t>5、成交供应商完成第九季度和第十季度古树名木巡查和技术指导工作，经采购人考评合格，采购人按本期完成合格工作量价款报市财政局审批，待财政资金批复到位后支付，成交供应商出具正式发票，达到付款条件起</w:t>
            </w:r>
            <w:r>
              <w:rPr>
                <w:rFonts w:hint="eastAsia"/>
                <w:color w:val="auto"/>
                <w:highlight w:val="none"/>
                <w:lang w:val="en-US" w:eastAsia="zh-CN"/>
              </w:rPr>
              <w:t>3</w:t>
            </w:r>
            <w:r>
              <w:rPr>
                <w:color w:val="auto"/>
                <w:highlight w:val="none"/>
              </w:rPr>
              <w:t>0日内，支付合同总金额的16.00%</w:t>
            </w:r>
          </w:p>
          <w:p>
            <w:pPr>
              <w:pStyle w:val="4"/>
              <w:jc w:val="left"/>
              <w:rPr>
                <w:color w:val="auto"/>
                <w:highlight w:val="none"/>
              </w:rPr>
            </w:pPr>
            <w:r>
              <w:rPr>
                <w:color w:val="auto"/>
                <w:highlight w:val="none"/>
              </w:rPr>
              <w:t>6、成交供应商完成第十一季度和第十二季度古树名木巡查和技术指导工作，经采购人考评合格，采购人按本期完成合格工作量价款报市财政局审批，待财政资金批复到位后支付，成交供应商出具正式发票，达到付款条件起</w:t>
            </w:r>
            <w:r>
              <w:rPr>
                <w:rFonts w:hint="eastAsia"/>
                <w:color w:val="auto"/>
                <w:highlight w:val="none"/>
                <w:lang w:val="en-US" w:eastAsia="zh-CN"/>
              </w:rPr>
              <w:t>3</w:t>
            </w:r>
            <w:r>
              <w:rPr>
                <w:color w:val="auto"/>
                <w:highlight w:val="none"/>
              </w:rPr>
              <w:t>0日内，支付合同总金额的</w:t>
            </w:r>
            <w:r>
              <w:rPr>
                <w:rFonts w:hint="eastAsia"/>
                <w:color w:val="auto"/>
                <w:highlight w:val="none"/>
                <w:lang w:val="en-US" w:eastAsia="zh-CN"/>
              </w:rPr>
              <w:t>20</w:t>
            </w:r>
            <w:r>
              <w:rPr>
                <w:color w:val="auto"/>
                <w:highlight w:val="none"/>
              </w:rPr>
              <w:t>.00%</w:t>
            </w:r>
            <w:r>
              <w:rPr>
                <w:rFonts w:hint="eastAsia"/>
                <w:color w:val="auto"/>
                <w:highlight w:val="none"/>
                <w:lang w:eastAsia="zh-CN"/>
              </w:rPr>
              <w:t>。</w:t>
            </w:r>
          </w:p>
        </w:tc>
      </w:tr>
    </w:tbl>
    <w:p>
      <w:pPr>
        <w:pStyle w:val="4"/>
        <w:jc w:val="left"/>
        <w:rPr>
          <w:color w:val="auto"/>
          <w:sz w:val="24"/>
          <w:szCs w:val="24"/>
          <w:highlight w:val="none"/>
        </w:rPr>
      </w:pPr>
      <w:r>
        <w:rPr>
          <w:color w:val="auto"/>
          <w:sz w:val="24"/>
          <w:szCs w:val="24"/>
          <w:highlight w:val="none"/>
        </w:rPr>
        <w:t>其他商务要求：</w:t>
      </w:r>
    </w:p>
    <w:p>
      <w:pPr>
        <w:pStyle w:val="4"/>
        <w:ind w:firstLine="480"/>
        <w:jc w:val="left"/>
        <w:rPr>
          <w:color w:val="auto"/>
          <w:highlight w:val="none"/>
        </w:rPr>
      </w:pPr>
      <w:r>
        <w:rPr>
          <w:rFonts w:ascii="宋体" w:hAnsi="宋体" w:eastAsia="宋体" w:cs="宋体"/>
          <w:color w:val="auto"/>
          <w:sz w:val="24"/>
          <w:highlight w:val="none"/>
        </w:rPr>
        <w:t>1、考核管理检查办法</w:t>
      </w:r>
    </w:p>
    <w:p>
      <w:pPr>
        <w:pStyle w:val="4"/>
        <w:ind w:firstLine="480"/>
        <w:jc w:val="left"/>
        <w:rPr>
          <w:color w:val="auto"/>
          <w:highlight w:val="none"/>
        </w:rPr>
      </w:pPr>
      <w:r>
        <w:rPr>
          <w:rFonts w:ascii="宋体" w:hAnsi="宋体" w:eastAsia="宋体" w:cs="宋体"/>
          <w:color w:val="auto"/>
          <w:sz w:val="24"/>
          <w:highlight w:val="none"/>
        </w:rPr>
        <w:t>1.1考核：采购人每季度考核1次。</w:t>
      </w:r>
    </w:p>
    <w:p>
      <w:pPr>
        <w:pStyle w:val="4"/>
        <w:ind w:firstLine="720"/>
        <w:jc w:val="left"/>
        <w:rPr>
          <w:color w:val="auto"/>
          <w:highlight w:val="none"/>
        </w:rPr>
      </w:pPr>
      <w:r>
        <w:rPr>
          <w:rFonts w:ascii="宋体" w:hAnsi="宋体" w:eastAsia="宋体" w:cs="宋体"/>
          <w:color w:val="auto"/>
          <w:sz w:val="24"/>
          <w:highlight w:val="none"/>
        </w:rPr>
        <w:t>1.2考核分为：季度考核和项目验收。</w:t>
      </w:r>
    </w:p>
    <w:p>
      <w:pPr>
        <w:pStyle w:val="4"/>
        <w:ind w:firstLine="720"/>
        <w:jc w:val="left"/>
        <w:rPr>
          <w:color w:val="auto"/>
          <w:highlight w:val="none"/>
        </w:rPr>
      </w:pPr>
      <w:r>
        <w:rPr>
          <w:rFonts w:ascii="宋体" w:hAnsi="宋体" w:eastAsia="宋体" w:cs="宋体"/>
          <w:color w:val="auto"/>
          <w:sz w:val="24"/>
          <w:highlight w:val="none"/>
        </w:rPr>
        <w:t>1.3扣款细则：</w:t>
      </w:r>
    </w:p>
    <w:tbl>
      <w:tblPr>
        <w:tblStyle w:val="3"/>
        <w:tblW w:w="8305"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4113"/>
        <w:gridCol w:w="34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序号</w:t>
            </w:r>
          </w:p>
        </w:tc>
        <w:tc>
          <w:tcPr>
            <w:tcW w:w="411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扣款事项</w:t>
            </w:r>
          </w:p>
        </w:tc>
        <w:tc>
          <w:tcPr>
            <w:tcW w:w="34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扣款金额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1</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巡查次数未达到要求的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每棵次扣300元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2</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巡查记录不完整或不规范的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每棵次扣500元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3</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巡查记录造假的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每棵次扣1000元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eastAsiaTheme="minorEastAsia"/>
                <w:color w:val="auto"/>
                <w:highlight w:val="none"/>
                <w:lang w:eastAsia="zh-CN"/>
              </w:rPr>
            </w:pPr>
            <w:r>
              <w:rPr>
                <w:rFonts w:hint="eastAsia" w:ascii="宋体" w:hAnsi="宋体" w:eastAsia="宋体" w:cs="宋体"/>
                <w:color w:val="auto"/>
                <w:sz w:val="24"/>
                <w:highlight w:val="none"/>
                <w:lang w:val="en-US" w:eastAsia="zh-CN"/>
              </w:rPr>
              <w:t>4</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巡查中未能发现显见性问题的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每棵次扣600元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eastAsiaTheme="minorEastAsia"/>
                <w:color w:val="auto"/>
                <w:highlight w:val="none"/>
                <w:lang w:eastAsia="zh-CN"/>
              </w:rPr>
            </w:pPr>
            <w:r>
              <w:rPr>
                <w:rFonts w:hint="eastAsia" w:ascii="宋体" w:hAnsi="宋体" w:eastAsia="宋体" w:cs="宋体"/>
                <w:color w:val="auto"/>
                <w:sz w:val="24"/>
                <w:highlight w:val="none"/>
                <w:lang w:val="en-US" w:eastAsia="zh-CN"/>
              </w:rPr>
              <w:t>5</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未按要求现场复核数字城管、12345、应急抢险等事项的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每一件案件扣500元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eastAsiaTheme="minorEastAsia"/>
                <w:color w:val="auto"/>
                <w:highlight w:val="none"/>
                <w:lang w:eastAsia="zh-CN"/>
              </w:rPr>
            </w:pPr>
            <w:r>
              <w:rPr>
                <w:rFonts w:hint="eastAsia" w:ascii="宋体" w:hAnsi="宋体" w:eastAsia="宋体" w:cs="宋体"/>
                <w:color w:val="auto"/>
                <w:sz w:val="24"/>
                <w:highlight w:val="none"/>
                <w:lang w:val="en-US" w:eastAsia="zh-CN"/>
              </w:rPr>
              <w:t>6</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未及时报告古树名木重大问题的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每棵次扣1000元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eastAsiaTheme="minorEastAsia"/>
                <w:color w:val="auto"/>
                <w:highlight w:val="none"/>
                <w:lang w:eastAsia="zh-CN"/>
              </w:rPr>
            </w:pPr>
            <w:r>
              <w:rPr>
                <w:rFonts w:hint="eastAsia" w:ascii="宋体" w:hAnsi="宋体" w:eastAsia="宋体" w:cs="宋体"/>
                <w:color w:val="auto"/>
                <w:sz w:val="24"/>
                <w:highlight w:val="none"/>
                <w:lang w:val="en-US" w:eastAsia="zh-CN"/>
              </w:rPr>
              <w:t>7</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未按要求做好古树铭牌管理的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每棵次扣300元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eastAsiaTheme="minorEastAsia"/>
                <w:color w:val="auto"/>
                <w:highlight w:val="none"/>
                <w:lang w:eastAsia="zh-CN"/>
              </w:rPr>
            </w:pPr>
            <w:r>
              <w:rPr>
                <w:rFonts w:hint="eastAsia" w:ascii="宋体" w:hAnsi="宋体" w:eastAsia="宋体" w:cs="宋体"/>
                <w:color w:val="auto"/>
                <w:sz w:val="24"/>
                <w:highlight w:val="none"/>
                <w:lang w:val="en-US" w:eastAsia="zh-CN"/>
              </w:rPr>
              <w:t>8</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未按要求完成业主交办的相关任务的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每次扣1000元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eastAsiaTheme="minorEastAsia"/>
                <w:color w:val="auto"/>
                <w:highlight w:val="none"/>
                <w:lang w:eastAsia="zh-CN"/>
              </w:rPr>
            </w:pPr>
            <w:r>
              <w:rPr>
                <w:rFonts w:hint="eastAsia" w:ascii="宋体" w:hAnsi="宋体" w:eastAsia="宋体" w:cs="宋体"/>
                <w:color w:val="auto"/>
                <w:sz w:val="24"/>
                <w:highlight w:val="none"/>
                <w:lang w:val="en-US" w:eastAsia="zh-CN"/>
              </w:rPr>
              <w:t>9</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未按照承诺要求提供高空作业车的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color w:val="auto"/>
                <w:highlight w:val="none"/>
              </w:rPr>
            </w:pPr>
            <w:r>
              <w:rPr>
                <w:rFonts w:ascii="宋体" w:hAnsi="宋体" w:eastAsia="宋体" w:cs="宋体"/>
                <w:color w:val="auto"/>
                <w:sz w:val="24"/>
                <w:highlight w:val="none"/>
              </w:rPr>
              <w:t>每次扣2000元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eastAsia="宋体" w:asciiTheme="minorHAnsi" w:hAnsiTheme="minorHAnsi" w:cstheme="minorBidi"/>
                <w:color w:val="auto"/>
                <w:highlight w:val="none"/>
                <w:lang w:val="en-US" w:eastAsia="zh-CN"/>
              </w:rPr>
            </w:pPr>
            <w:r>
              <w:rPr>
                <w:rFonts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Theme="minorHAnsi" w:hAnsiTheme="minorHAnsi" w:eastAsiaTheme="minorEastAsia" w:cstheme="minorBidi"/>
                <w:color w:val="auto"/>
                <w:highlight w:val="none"/>
                <w:lang w:val="en-US" w:eastAsia="zh-Hans"/>
              </w:rPr>
            </w:pPr>
            <w:r>
              <w:rPr>
                <w:rFonts w:ascii="宋体" w:hAnsi="宋体" w:eastAsia="宋体" w:cs="宋体"/>
                <w:color w:val="auto"/>
                <w:sz w:val="24"/>
                <w:highlight w:val="none"/>
              </w:rPr>
              <w:t>未按照承诺要求提供无人机的</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Theme="minorHAnsi" w:hAnsiTheme="minorHAnsi" w:eastAsiaTheme="minorEastAsia" w:cstheme="minorBidi"/>
                <w:color w:val="auto"/>
                <w:highlight w:val="none"/>
                <w:lang w:val="en-US" w:eastAsia="zh-Hans"/>
              </w:rPr>
            </w:pPr>
            <w:r>
              <w:rPr>
                <w:rFonts w:ascii="宋体" w:hAnsi="宋体" w:eastAsia="宋体" w:cs="宋体"/>
                <w:color w:val="auto"/>
                <w:sz w:val="24"/>
                <w:highlight w:val="none"/>
              </w:rPr>
              <w:t>每次扣1000元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系统信息录入错误</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每次扣300元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巡查信息未及时录入系统</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每棵次扣300元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7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411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未及时更新古树名木基础信息</w:t>
            </w:r>
          </w:p>
        </w:tc>
        <w:tc>
          <w:tcPr>
            <w:tcW w:w="34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每课次扣300元</w:t>
            </w:r>
          </w:p>
        </w:tc>
      </w:tr>
    </w:tbl>
    <w:p>
      <w:pPr>
        <w:pStyle w:val="4"/>
        <w:ind w:firstLine="480"/>
        <w:jc w:val="left"/>
        <w:rPr>
          <w:rFonts w:ascii="宋体" w:hAnsi="宋体" w:eastAsia="宋体" w:cs="宋体"/>
          <w:color w:val="auto"/>
          <w:sz w:val="24"/>
          <w:highlight w:val="none"/>
          <w:shd w:val="clear" w:fill="FFFFFF"/>
        </w:rPr>
      </w:pPr>
    </w:p>
    <w:p>
      <w:pPr>
        <w:pStyle w:val="4"/>
        <w:ind w:firstLine="480"/>
        <w:jc w:val="left"/>
        <w:rPr>
          <w:color w:val="auto"/>
          <w:highlight w:val="none"/>
        </w:rPr>
      </w:pPr>
      <w:r>
        <w:rPr>
          <w:rFonts w:ascii="宋体" w:hAnsi="宋体" w:eastAsia="宋体" w:cs="宋体"/>
          <w:color w:val="auto"/>
          <w:sz w:val="24"/>
          <w:highlight w:val="none"/>
          <w:shd w:val="clear" w:fill="FFFFFF"/>
        </w:rPr>
        <w:t>2、违约责任</w:t>
      </w:r>
    </w:p>
    <w:p>
      <w:pPr>
        <w:pStyle w:val="4"/>
        <w:ind w:firstLine="645"/>
        <w:jc w:val="left"/>
        <w:rPr>
          <w:color w:val="auto"/>
          <w:highlight w:val="none"/>
        </w:rPr>
      </w:pPr>
      <w:r>
        <w:rPr>
          <w:rFonts w:ascii="宋体" w:hAnsi="宋体" w:eastAsia="宋体" w:cs="宋体"/>
          <w:color w:val="auto"/>
          <w:sz w:val="24"/>
          <w:highlight w:val="none"/>
        </w:rPr>
        <w:t>2.1因成交供应商原因造成服务合同无法按时签订，视为成交供应商违约，需另行偿付本合同总金额5%的违约金。</w:t>
      </w:r>
    </w:p>
    <w:p>
      <w:pPr>
        <w:pStyle w:val="4"/>
        <w:ind w:firstLine="645"/>
        <w:jc w:val="left"/>
        <w:rPr>
          <w:color w:val="auto"/>
          <w:highlight w:val="none"/>
        </w:rPr>
      </w:pPr>
      <w:r>
        <w:rPr>
          <w:rFonts w:ascii="宋体" w:hAnsi="宋体" w:eastAsia="宋体" w:cs="宋体"/>
          <w:color w:val="auto"/>
          <w:sz w:val="24"/>
          <w:highlight w:val="none"/>
        </w:rPr>
        <w:t>2.2在签订服务合同之后，成交供应商要求解除合同的，视为成交供应商违约，成交供应商需支付相应的赔偿；若采购人已支付部分款项，成交供应商应退还采购人已支付的款项并另行偿付本合同总金额5%的违约金。</w:t>
      </w:r>
    </w:p>
    <w:p>
      <w:pPr>
        <w:pStyle w:val="4"/>
        <w:ind w:firstLine="645"/>
        <w:jc w:val="left"/>
        <w:rPr>
          <w:color w:val="auto"/>
          <w:highlight w:val="none"/>
        </w:rPr>
      </w:pPr>
      <w:r>
        <w:rPr>
          <w:rFonts w:ascii="宋体" w:hAnsi="宋体" w:eastAsia="宋体" w:cs="宋体"/>
          <w:color w:val="auto"/>
          <w:sz w:val="24"/>
          <w:highlight w:val="none"/>
        </w:rPr>
        <w:t>2.3因成交供应商原因发生重大质量事故，除依约承担赔偿责任外，还将按有关质量管理办法规定执行。同时，采购人有权保留更换成交供应商的权利，并报相关行政主管部门处罚。</w:t>
      </w:r>
    </w:p>
    <w:p>
      <w:pPr>
        <w:pStyle w:val="4"/>
        <w:ind w:firstLine="645"/>
        <w:jc w:val="left"/>
        <w:rPr>
          <w:color w:val="auto"/>
          <w:highlight w:val="none"/>
        </w:rPr>
      </w:pPr>
      <w:r>
        <w:rPr>
          <w:rFonts w:ascii="宋体" w:hAnsi="宋体" w:eastAsia="宋体" w:cs="宋体"/>
          <w:color w:val="auto"/>
          <w:sz w:val="24"/>
          <w:highlight w:val="none"/>
        </w:rPr>
        <w:t>2.4在明确违约责任后，成交供应商应在接到书面通知书起七天内支付违约金、赔偿金等。</w:t>
      </w:r>
    </w:p>
    <w:p>
      <w:pPr>
        <w:pStyle w:val="4"/>
        <w:ind w:firstLine="645"/>
        <w:jc w:val="left"/>
        <w:rPr>
          <w:color w:val="auto"/>
          <w:highlight w:val="none"/>
        </w:rPr>
      </w:pPr>
      <w:r>
        <w:rPr>
          <w:rFonts w:ascii="宋体" w:hAnsi="宋体" w:eastAsia="宋体" w:cs="宋体"/>
          <w:color w:val="auto"/>
          <w:sz w:val="24"/>
          <w:highlight w:val="none"/>
        </w:rPr>
        <w:t>3、安全责任</w:t>
      </w:r>
    </w:p>
    <w:p>
      <w:pPr>
        <w:pStyle w:val="4"/>
        <w:ind w:firstLine="645"/>
        <w:jc w:val="left"/>
        <w:rPr>
          <w:color w:val="auto"/>
          <w:highlight w:val="none"/>
        </w:rPr>
      </w:pPr>
      <w:r>
        <w:rPr>
          <w:rFonts w:ascii="宋体" w:hAnsi="宋体" w:eastAsia="宋体" w:cs="宋体"/>
          <w:color w:val="auto"/>
          <w:sz w:val="24"/>
          <w:highlight w:val="none"/>
        </w:rPr>
        <w:t>3.1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4"/>
        <w:ind w:firstLine="645"/>
        <w:jc w:val="left"/>
        <w:rPr>
          <w:color w:val="auto"/>
          <w:highlight w:val="none"/>
        </w:rPr>
      </w:pPr>
      <w:r>
        <w:rPr>
          <w:rFonts w:ascii="宋体" w:hAnsi="宋体" w:eastAsia="宋体" w:cs="宋体"/>
          <w:color w:val="auto"/>
          <w:sz w:val="24"/>
          <w:highlight w:val="none"/>
        </w:rPr>
        <w:t>3.2成交供应商应中标后须根据国家相关规定，全权负责项目实施中的一切安全措施以及办理人员保险。如因项目实施中导致的安全问题及一切费用将由成交供应商全部承担。</w:t>
      </w:r>
    </w:p>
    <w:p>
      <w:pPr>
        <w:pStyle w:val="4"/>
        <w:ind w:firstLine="645"/>
        <w:jc w:val="left"/>
        <w:rPr>
          <w:color w:val="auto"/>
          <w:highlight w:val="none"/>
        </w:rPr>
      </w:pPr>
      <w:r>
        <w:rPr>
          <w:rFonts w:ascii="宋体" w:hAnsi="宋体" w:eastAsia="宋体" w:cs="宋体"/>
          <w:color w:val="auto"/>
          <w:sz w:val="24"/>
          <w:highlight w:val="none"/>
        </w:rPr>
        <w:t>4.终止合同</w:t>
      </w:r>
    </w:p>
    <w:p>
      <w:pPr>
        <w:pStyle w:val="4"/>
        <w:ind w:firstLine="480"/>
        <w:jc w:val="left"/>
        <w:rPr>
          <w:color w:val="auto"/>
          <w:highlight w:val="none"/>
        </w:rPr>
      </w:pPr>
      <w:r>
        <w:rPr>
          <w:rFonts w:ascii="宋体" w:hAnsi="宋体" w:eastAsia="宋体" w:cs="宋体"/>
          <w:color w:val="auto"/>
          <w:sz w:val="24"/>
          <w:highlight w:val="none"/>
        </w:rPr>
        <w:t>4.1安全责任：应当发现而未发现造成重大安全事故或恶劣影响。</w:t>
      </w:r>
    </w:p>
    <w:p>
      <w:pPr>
        <w:pStyle w:val="4"/>
        <w:ind w:firstLine="480"/>
        <w:jc w:val="left"/>
        <w:rPr>
          <w:color w:val="auto"/>
          <w:highlight w:val="none"/>
        </w:rPr>
      </w:pPr>
      <w:r>
        <w:rPr>
          <w:rFonts w:ascii="宋体" w:hAnsi="宋体" w:eastAsia="宋体" w:cs="宋体"/>
          <w:color w:val="auto"/>
          <w:sz w:val="24"/>
          <w:highlight w:val="none"/>
        </w:rPr>
        <w:t>4.2巡查人员专业水平：巡查人员专业水平达不到采购人及上级主管部门要求，且更换两次仍未达到的。</w:t>
      </w:r>
    </w:p>
    <w:p>
      <w:pPr>
        <w:pStyle w:val="4"/>
        <w:ind w:firstLine="480"/>
        <w:jc w:val="left"/>
        <w:rPr>
          <w:color w:val="auto"/>
          <w:highlight w:val="none"/>
        </w:rPr>
      </w:pPr>
      <w:r>
        <w:rPr>
          <w:rFonts w:ascii="宋体" w:hAnsi="宋体" w:eastAsia="宋体" w:cs="宋体"/>
          <w:color w:val="auto"/>
          <w:sz w:val="24"/>
          <w:highlight w:val="none"/>
        </w:rPr>
        <w:t>4.3拒不配合采购人及上级主管部门安排的任务。</w:t>
      </w:r>
    </w:p>
    <w:p>
      <w:pPr>
        <w:pStyle w:val="4"/>
        <w:ind w:firstLine="480"/>
        <w:jc w:val="left"/>
        <w:rPr>
          <w:color w:val="auto"/>
          <w:highlight w:val="none"/>
        </w:rPr>
      </w:pPr>
      <w:r>
        <w:rPr>
          <w:rFonts w:ascii="宋体" w:hAnsi="宋体" w:eastAsia="宋体" w:cs="宋体"/>
          <w:color w:val="auto"/>
          <w:sz w:val="24"/>
          <w:highlight w:val="none"/>
        </w:rPr>
        <w:t>4.4不支付专家会诊及第三方鉴定费的。</w:t>
      </w:r>
    </w:p>
    <w:p>
      <w:pPr>
        <w:pStyle w:val="4"/>
        <w:jc w:val="left"/>
        <w:outlineLvl w:val="2"/>
        <w:rPr>
          <w:color w:val="auto"/>
          <w:highlight w:val="none"/>
        </w:rPr>
      </w:pPr>
      <w:r>
        <w:rPr>
          <w:b/>
          <w:color w:val="auto"/>
          <w:sz w:val="28"/>
          <w:highlight w:val="none"/>
        </w:rPr>
        <w:t>四、其他事项</w:t>
      </w:r>
    </w:p>
    <w:p>
      <w:pPr>
        <w:pStyle w:val="4"/>
        <w:jc w:val="left"/>
      </w:pPr>
      <w:r>
        <w:rPr>
          <w:color w:val="auto"/>
          <w:highlight w:val="none"/>
        </w:rPr>
        <w:t>无。</w:t>
      </w:r>
    </w:p>
    <w:sectPr>
      <w:pgSz w:w="11906" w:h="16838"/>
      <w:pgMar w:top="1134" w:right="1417"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82CED"/>
    <w:rsid w:val="7D482C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sz w:val="21"/>
      <w:szCs w:val="22"/>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2023-09-04T07:20:00Z</dcterms:created>
  <dc:creator>Administrator</dc:creator>
  <cp:lastModifiedBy>Administrator</cp:lastModifiedBy>
  <cp:lastPrinted>2023-09-04T07:31:06Z</cp:lastPrinted>
  <dcterms:modified xsi:type="dcterms:W3CDTF">2023-09-04T09:31:38Z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